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hd w:val="clear" w:fill="FFFFFF"/>
        <w:spacing w:lineRule="auto" w:line="240"/>
        <w:ind w:left="0" w:right="0" w:firstLine="540"/>
        <w:jc w:val="center"/>
        <w:rPr/>
      </w:pPr>
      <w:r>
        <w:rPr>
          <w:rStyle w:val="Strong"/>
          <w:rFonts w:ascii="Times New Roman" w:hAnsi="Times New Roman"/>
          <w:color w:val="auto"/>
          <w:sz w:val="24"/>
          <w:szCs w:val="24"/>
          <w:lang w:val="ru-RU"/>
        </w:rPr>
        <w:t>Порядок вручения за границей судебных или внесудебных документов по гражданским делам.</w:t>
      </w:r>
    </w:p>
    <w:p>
      <w:pPr>
        <w:pStyle w:val="ConsPlusNormal"/>
        <w:shd w:val="clear" w:fill="FFFFFF"/>
        <w:spacing w:lineRule="auto" w:line="240"/>
        <w:ind w:left="0" w:right="0" w:firstLine="540"/>
        <w:jc w:val="both"/>
        <w:rPr>
          <w:rStyle w:val="Strong"/>
          <w:rFonts w:ascii="Times New Roman" w:hAnsi="Times New Roman"/>
          <w:color w:val="auto"/>
          <w:sz w:val="24"/>
          <w:szCs w:val="24"/>
          <w:lang w:val="ru-RU"/>
        </w:rPr>
      </w:pPr>
      <w:r>
        <w:rPr/>
      </w:r>
    </w:p>
    <w:p>
      <w:pPr>
        <w:pStyle w:val="ConsPlusNormal"/>
        <w:shd w:val="clear" w:fill="FFFFFF"/>
        <w:spacing w:lineRule="auto" w:line="240"/>
        <w:ind w:left="0" w:righ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Данный вопрос урегулирован нормами Конвенции о вручении за границей судебных и внесудебных документов по гражданским или торговым делам" (заключена в г. Гааге 15.11.1965).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Данная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 Конвенция применяется в гражданских или торговых делах во всех случаях, при которых судебный или внесудебный документ необходимо направить для передачи или вручения за границей.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 xml:space="preserve">Каждое Договаривающееся Государство назначает Центральный 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орган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, на который возлагается обязанность принимать и рассматривать запросы о вручении документов, поступающие из других Договаривающихся Государств. Центральным органом Российской Федерации для 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этих 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целей назначено Министерство юстиции Российской Федерации.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Орган или судебное должностное лицо, полномочное в соответствии с законодательством запрашивающего государства, направляет Центральному </w:t>
      </w:r>
      <w:r>
        <w:rPr>
          <w:rFonts w:ascii="Times New Roman" w:hAnsi="Times New Roman"/>
          <w:color w:val="auto"/>
          <w:sz w:val="24"/>
          <w:szCs w:val="24"/>
        </w:rPr>
        <w:t>органу</w:t>
      </w:r>
      <w:r>
        <w:rPr>
          <w:rFonts w:ascii="Times New Roman" w:hAnsi="Times New Roman"/>
          <w:color w:val="auto"/>
          <w:sz w:val="24"/>
          <w:szCs w:val="24"/>
        </w:rPr>
        <w:t xml:space="preserve"> запрашиваемого государства запрос, составленный в соответствии с </w:t>
      </w:r>
      <w:r>
        <w:rPr>
          <w:rFonts w:ascii="Times New Roman" w:hAnsi="Times New Roman"/>
          <w:color w:val="auto"/>
          <w:sz w:val="24"/>
          <w:szCs w:val="24"/>
        </w:rPr>
        <w:t>образцом</w:t>
      </w:r>
      <w:r>
        <w:rPr>
          <w:rFonts w:ascii="Times New Roman" w:hAnsi="Times New Roman"/>
          <w:color w:val="auto"/>
          <w:sz w:val="24"/>
          <w:szCs w:val="24"/>
        </w:rPr>
        <w:t>, прилагаемым к Конвенции, без необходимости легализации или выполнения других эквивалентных формальностей.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bookmarkStart w:id="0" w:name="Par29"/>
      <w:bookmarkEnd w:id="0"/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К запросу прилагается документ, подлежащий вручению, или его копия. Запрос и документ представляются в двух экземплярах.</w:t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В качестве органов, компетентных согласно законодательству Российской Федерации обращаться с запросом о правовой помощи, выступают в рамках своих полномочий:</w:t>
        <w:tab/>
        <w:tab/>
        <w:tab/>
        <w:tab/>
        <w:tab/>
        <w:tab/>
        <w:tab/>
        <w:tab/>
        <w:tab/>
        <w:tab/>
        <w:tab/>
        <w:tab/>
        <w:tab/>
        <w:t>- федеральные суды (Конституционный Суд Российской Федерации; Верховный Суд Российской Федерации,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суды, составляющие систему федеральных судов общей юрисдикции; Высший Арбитражный Суд Российской Федерации, федеральные арбитражные суды округов (арбитражные кассационные суды), арбитражные апелляционные суды, арбитражные суды субъектов Российской Федерации, составляющие систему федеральных арбитражных судов), конституционные (уставные) суды и мировые судьи субъектов Российской Федерации;</w:t>
        <w:tab/>
        <w:tab/>
        <w:tab/>
        <w:tab/>
        <w:tab/>
        <w:tab/>
        <w:t>- федеральные органы исполнительной власти и органы исполнительной власти субъектов федерации;</w:t>
        <w:tab/>
        <w:tab/>
        <w:tab/>
        <w:tab/>
        <w:tab/>
        <w:tab/>
        <w:tab/>
        <w:tab/>
        <w:tab/>
        <w:tab/>
        <w:tab/>
        <w:t>- органы прокуратуры Российской Федерации;</w:t>
        <w:tab/>
        <w:tab/>
        <w:tab/>
        <w:tab/>
        <w:tab/>
        <w:tab/>
        <w:tab/>
        <w:t>- органы записи актов гражданского состояния;</w:t>
        <w:tab/>
        <w:tab/>
        <w:tab/>
        <w:tab/>
        <w:tab/>
        <w:tab/>
        <w:tab/>
        <w:t>- нотариусы и другие должностные лица, уполномоченные на осуществление нотариальных действий;</w:t>
        <w:tab/>
        <w:tab/>
        <w:tab/>
        <w:tab/>
        <w:tab/>
        <w:tab/>
        <w:tab/>
        <w:tab/>
        <w:tab/>
        <w:tab/>
        <w:tab/>
        <w:t>- органы опеки и попечительства;</w:t>
        <w:tab/>
        <w:tab/>
        <w:tab/>
        <w:tab/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- адвокаты.</w:t>
      </w:r>
    </w:p>
    <w:p>
      <w:pPr>
        <w:pStyle w:val="ConsPlusNormal"/>
        <w:shd w:val="clear" w:fill="FFFFFF"/>
        <w:spacing w:lineRule="auto" w:line="240" w:before="0" w:after="0"/>
        <w:ind w:left="0" w:hanging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Если Центральный 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орган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 считает, что запрос не соответствует требованиям Конвенции, он незамедлительно извещает об этом заявителя с подробным изложением своих замечаний к запросу.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Центральный </w:t>
      </w:r>
      <w:r>
        <w:rPr>
          <w:rFonts w:ascii="Times New Roman" w:hAnsi="Times New Roman"/>
          <w:color w:val="auto"/>
          <w:sz w:val="24"/>
          <w:szCs w:val="24"/>
        </w:rPr>
        <w:t>орган</w:t>
      </w:r>
      <w:r>
        <w:rPr>
          <w:rFonts w:ascii="Times New Roman" w:hAnsi="Times New Roman"/>
          <w:color w:val="auto"/>
          <w:sz w:val="24"/>
          <w:szCs w:val="24"/>
        </w:rPr>
        <w:t xml:space="preserve"> запрашиваемого государства вручает или доставляет документ самостоятельно или иным образом обеспечивает его вручение: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bookmarkStart w:id="1" w:name="Par38"/>
      <w:bookmarkEnd w:id="1"/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a) либо в порядке, предусмотренном законодательством этого государства для вручения или доставки совершенных в нем документов лицам, находящимся на его территории;</w:t>
        <w:tab/>
        <w:tab/>
        <w:tab/>
        <w:tab/>
        <w:tab/>
        <w:tab/>
        <w:tab/>
        <w:tab/>
        <w:tab/>
        <w:tab/>
        <w:tab/>
        <w:tab/>
        <w:t>b) либо, по ходатайству заявителя, в особом порядке, если такой порядок не является несовместимым с законодательством запрашиваемого государства.</w:t>
        <w:tab/>
        <w:tab/>
      </w:r>
      <w:r>
        <w:rPr>
          <w:rFonts w:ascii="Times New Roman" w:hAnsi="Times New Roman"/>
          <w:color w:val="auto"/>
          <w:sz w:val="24"/>
          <w:szCs w:val="24"/>
        </w:rPr>
        <w:t xml:space="preserve">Центральный </w:t>
      </w:r>
      <w:r>
        <w:rPr>
          <w:rFonts w:ascii="Times New Roman" w:hAnsi="Times New Roman"/>
          <w:color w:val="auto"/>
          <w:sz w:val="24"/>
          <w:szCs w:val="24"/>
        </w:rPr>
        <w:t>орган</w:t>
      </w:r>
      <w:r>
        <w:rPr>
          <w:rFonts w:ascii="Times New Roman" w:hAnsi="Times New Roman"/>
          <w:color w:val="auto"/>
          <w:sz w:val="24"/>
          <w:szCs w:val="24"/>
        </w:rPr>
        <w:t xml:space="preserve"> запрашиваемого государства, или другой орган, который может быть назначен с этой целью, составляет подтверждение о вручении в форме свидетельства по </w:t>
      </w:r>
      <w:r>
        <w:rPr>
          <w:rFonts w:ascii="Times New Roman" w:hAnsi="Times New Roman"/>
          <w:color w:val="auto"/>
          <w:sz w:val="24"/>
          <w:szCs w:val="24"/>
        </w:rPr>
        <w:t>образцу</w:t>
      </w:r>
      <w:r>
        <w:rPr>
          <w:rFonts w:ascii="Times New Roman" w:hAnsi="Times New Roman"/>
          <w:color w:val="auto"/>
          <w:sz w:val="24"/>
          <w:szCs w:val="24"/>
        </w:rPr>
        <w:t>, прилагаемому к Конвенции.</w:t>
        <w:tab/>
        <w:tab/>
        <w:tab/>
        <w:tab/>
        <w:tab/>
        <w:tab/>
        <w:tab/>
        <w:tab/>
        <w:t>В свидетельстве подтверждается, что документ вручен, и приводятся способ, место и дата вручения, а также указывается лицо, которому вручен документ. Если документ не был вручен, то в свидетельстве указываются воспрепятствовавшие этому причины.</w:t>
        <w:tab/>
        <w:t xml:space="preserve">Заявитель может потребовать, чтобы свидетельство, которое не составлено Центральным </w:t>
      </w:r>
      <w:r>
        <w:rPr>
          <w:rFonts w:ascii="Times New Roman" w:hAnsi="Times New Roman"/>
          <w:color w:val="auto"/>
          <w:sz w:val="24"/>
          <w:szCs w:val="24"/>
        </w:rPr>
        <w:t>органом</w:t>
      </w:r>
      <w:r>
        <w:rPr>
          <w:rFonts w:ascii="Times New Roman" w:hAnsi="Times New Roman"/>
          <w:color w:val="auto"/>
          <w:sz w:val="24"/>
          <w:szCs w:val="24"/>
        </w:rPr>
        <w:t xml:space="preserve"> или судебным органом, было заверено одним из них.</w:t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Свидетельство направляется непосредственно заявителю.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Каждое Договаривающееся Государство вправе осуществлять с помощью своих дипломатических или консульских агентов вручение, без применения мер принуждения, судебных документов лицам, находящимся за границей.</w:t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Любое государство может заявить о том, что оно не допускает такого порядка вручения на своей территории, за исключением случаев, при которых документ подлежит вручению гражданину запрашивающего государства.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Каждое Договаривающееся Государство вправе, кроме того, использовать консульские каналы для доставки предназначенных для вручения судебных документов органам другого Договаривающегося Государства, которые были для этого назначены.</w:t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В исключительных обстоятельствах каждое Договаривающееся Государство может использовать в тех же целях дипломатические каналы.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Если запрашиваемое государство не заявляет возражений, настоящая Конвенция не препятствует:</w:t>
        <w:tab/>
        <w:tab/>
        <w:tab/>
        <w:tab/>
        <w:tab/>
        <w:tab/>
        <w:tab/>
        <w:tab/>
        <w:tab/>
        <w:tab/>
        <w:tab/>
        <w:tab/>
        <w:t>a) возможности непосредственно посылать по почте судебные документы лицам, находящимся за границей;</w:t>
        <w:tab/>
        <w:tab/>
        <w:tab/>
        <w:tab/>
        <w:tab/>
        <w:tab/>
        <w:tab/>
        <w:tab/>
        <w:tab/>
        <w:tab/>
        <w:t>b) возможности судебных и иных должностных лиц или других компетентных лиц запрашивающего государства осуществлять вручение судебных документов, прибегая непосредственно к услугам судебных и иных должностных лиц или других компетентных лиц запрашиваемого государства;</w:t>
        <w:tab/>
        <w:tab/>
        <w:tab/>
        <w:tab/>
        <w:tab/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c) возможности любого лица, участвующего в судебном разбирательстве, осуществлять вручение судебного документа, непосредственно прибегая к услугам судебных и иных должностных лиц или других компетентных лиц запрашиваемого государства.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Вручение судебных документов, поступающих из Договаривающегося Государства, не может служить поводом для взимания или возмещения сборов или расходов в связи с услугами, предоставленными запрашиваемым государством.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bookmarkStart w:id="2" w:name="Par80"/>
      <w:bookmarkEnd w:id="2"/>
      <w:r>
        <w:rPr>
          <w:rFonts w:ascii="Times New Roman" w:hAnsi="Times New Roman"/>
          <w:color w:val="auto"/>
          <w:sz w:val="24"/>
          <w:szCs w:val="24"/>
        </w:rPr>
        <w:tab/>
        <w:t>Заявитель оплачивает или возмещает расходы, вызванные:</w:t>
      </w:r>
      <w:bookmarkStart w:id="3" w:name="Par81"/>
      <w:bookmarkEnd w:id="3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>a) участием судебного должностного лица или лица, полномочного по законодательству запрашиваемого государства;</w:t>
      </w:r>
      <w:bookmarkStart w:id="4" w:name="Par82"/>
      <w:bookmarkEnd w:id="4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b) применением особого порядка вручения.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Если запрос о вручении соответствует положениям Конвенции, запрашиваемое государство может отказать в его исполнении только в том случае, если считает, что исполнение запроса может нанести ущерб его суверенитету или безопасности.</w:t>
        <w:tab/>
        <w:tab/>
        <w:t>В исполнении не может быть отказано только на том основании, что запрашиваемое государство, согласно его законодательству, обладает исключительной юрисдикцией над предметом рассматриваемого дела, или что по его законодательству предъявление иска, лежащего в основе заявленного запроса, не допускается.</w:t>
        <w:tab/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В случае отказа Центральный орган незамедлительно информирует об этом заявителя с указанием причин.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Затруднения, которые могут возникнуть в связи с передачей судебных документов в целях их вручения, разрешаются дипломатическим путем.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В случае, если судебная повестка или эквивалентный документ подлежал направлению за границу в целях вручения в соответствии с положениями Конвенции и ответчик в суд не явился, суд откладывает вынесение решения до тех пор, пока не будет установлено: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a) что документ вручен в порядке, предусмотренном законодательством запрашиваемого государства для вручения или доставки совершенных в нем документов лицам, находящимся на его территории, или</w:t>
        <w:tab/>
        <w:tab/>
        <w:tab/>
        <w:tab/>
        <w:tab/>
        <w:tab/>
        <w:tab/>
        <w:t>b) что документ действительно доставлен ответчику лично или по месту его жительства в ином порядке, предусмотренном в Конвенции,</w:t>
        <w:tab/>
        <w:tab/>
        <w:tab/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и что в любом из этих случаев документ был вручен или доставлен своевременно таким образом, чтобы ответчик мог подготовиться к своей защите.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В случае, если судебная повестка или эквивалентный документ подлежал направлению за границу для вручения в соответствии с положениями Конвенции и судом было вынесено решение против не явившегося в суд ответчика, судья вправе освободить ответчика от последствий истечения срока обжалования решения при выполнении следующих условий:</w:t>
        <w:tab/>
        <w:tab/>
        <w:tab/>
        <w:tab/>
        <w:tab/>
        <w:tab/>
        <w:tab/>
        <w:tab/>
        <w:tab/>
        <w:tab/>
        <w:t>a) ответчику не по его вине не стало известно о документе достаточно заблаговременно для того, чтобы он мог подготовиться к своей защите, или о вынесенном решении - таким образом, чтобы он мог его обжаловать, и</w:t>
        <w:tab/>
        <w:tab/>
        <w:tab/>
        <w:tab/>
        <w:tab/>
        <w:t>b) ответчик представил обоснованные доводы в свою защиту.</w:t>
        <w:tab/>
        <w:tab/>
        <w:tab/>
      </w: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Ходатайство о восстановлении срока может быть подано только в течение разумного срока после того, как ответчику стало известно о решении.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ab/>
        <w:t>Внесудебные документы, исходящие от органов и судебных должностных лиц Договаривающегося Государства, могут быть переданы для вручения в другом Договаривающемся Государстве в соответствии с порядком и условиями, предусмотренными в Конвенции.</w:t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>
          <w:rStyle w:val="Strong"/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/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>
          <w:rStyle w:val="Strong"/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/>
      </w:r>
    </w:p>
    <w:p>
      <w:pPr>
        <w:pStyle w:val="ConsPlusNormal"/>
        <w:shd w:val="clear" w:fill="FFFFFF"/>
        <w:spacing w:lineRule="auto" w:line="240" w:before="0" w:after="0"/>
        <w:ind w:left="0" w:firstLine="540"/>
        <w:jc w:val="both"/>
        <w:rPr>
          <w:rStyle w:val="Strong"/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Application>LibreOffice/5.3.0.3$Windows_x86 LibreOffice_project/7074905676c47b82bbcfbea1aeefc84afe1c50e1</Application>
  <Pages>3</Pages>
  <Words>985</Words>
  <Characters>6981</Characters>
  <CharactersWithSpaces>8135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2017-12-26T22:55:03Z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