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4F" w:rsidRDefault="00623174">
      <w:pPr>
        <w:pStyle w:val="ConsPlusNormal"/>
        <w:ind w:firstLine="540"/>
        <w:jc w:val="center"/>
      </w:pPr>
      <w:r>
        <w:rPr>
          <w:rStyle w:val="a4"/>
          <w:rFonts w:ascii="Times New Roman" w:hAnsi="Times New Roman" w:cs="Arial"/>
          <w:color w:val="auto"/>
          <w:sz w:val="24"/>
        </w:rPr>
        <w:t>Анализ адвокатом условий договора участия в долевом строительстве с целью оценки рисков участника долевого строительства. Деятельность адвоката по регистрации договора участия в долевом строительстве.</w:t>
      </w:r>
    </w:p>
    <w:p w:rsidR="00FF2B4F" w:rsidRDefault="00FF2B4F">
      <w:pPr>
        <w:pStyle w:val="ConsPlusNormal"/>
        <w:ind w:firstLine="540"/>
        <w:jc w:val="both"/>
        <w:rPr>
          <w:rStyle w:val="a4"/>
          <w:rFonts w:ascii="Times New Roman" w:hAnsi="Times New Roman" w:cs="Arial"/>
          <w:color w:val="auto"/>
          <w:sz w:val="24"/>
        </w:rPr>
      </w:pP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</w:r>
      <w:proofErr w:type="gramStart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По договору участия в долевом строительстве одна 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сторона (застройщик) обязуется в предусмотренный договором срок своими силами и (или) с привлечением других лиц построить (создать) многоквартирный дом и (или) иной объект недвижимости и после получения разрешения на ввод в эксплуатацию этих объектов перед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ать соответствующий объект долевого строительства участнику долевого строительства, а другая сторона (участник долевого строительства) обязуется уплатить обусловленную договором цену</w:t>
      </w:r>
      <w:proofErr w:type="gramEnd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 и принять объект долевого строительства при наличии разрешения на ввод в 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эксплуатацию многоквартирного дома и (или) иного объекта недвижимости.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  <w:t>Договор заключается в письменной форме, подлежит государственной регистрации и считается заключенным с момента такой регистрации, если иное не предусмотрено ФЗ "Об участии в долевом ст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  <w:t>Договор должен содержать: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</w:r>
      <w:proofErr w:type="gramStart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1) определение подлежащего передаче конкретного объекта долевого строительства в соотв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етствии с проектной документацией застройщиком после получения им разрешения на ввод в эксплуатацию многоквартирного дома и (или) иного объекта недвижимости, в том числе план объекта долевого строительства, отображающий в графической форме (схема, чертеж) 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расположение по отношению друг к другу частей являющегося объектом долевого строительства жилого помещения (комнат, помещений</w:t>
      </w:r>
      <w:proofErr w:type="gramEnd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 </w:t>
      </w:r>
      <w:proofErr w:type="gramStart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вспомогательного использования, лоджий, веранд, балконов, террас) или частей являющегося объектом долевого строительства нежилого 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помещения, местоположение объекта долевого строительства на этаже строящихся (создаваемых) многоквартирного дома и (или) иного объекта недвижимости, с указанием сведений в соответствии с проектной документацией о виде, назначении, об этажности, общей площа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ди многоквартирного дома и (или) иного объекта недвижимости, о материале наружных стен и поэтажных перекрытий, классе </w:t>
      </w:r>
      <w:proofErr w:type="spellStart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энергоэффективности</w:t>
      </w:r>
      <w:proofErr w:type="spellEnd"/>
      <w:proofErr w:type="gramEnd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, </w:t>
      </w:r>
      <w:proofErr w:type="gramStart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сейсмостойкости (основные характеристики многоквартирного дома и (или) иного объекта недвижимости), назначении объект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а долевого строительства (жилое помещение, нежилое помещение), об этаже, на котором расположен такой объект долевого строительства, о его общей площади (для жилого помещения) или площади (для нежилого помещения), количестве и площади комнат, помещений вспо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могательного использования, лоджий, веранд, балконов, террас в жилом помещении, наличии и площади частей нежилого помещения (основные</w:t>
      </w:r>
      <w:proofErr w:type="gramEnd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 характеристики жилого или нежилого помещения);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  <w:t>2) срок передачи застройщиком объекта долевого строительства участнику дол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евого строительства;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  <w:t>3) цену договора, сроки и порядок ее уплаты;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  <w:t>4) гарантийный срок на объект долевого строительства;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  <w:t>5) способы обеспечения исполнения застройщиком обязательств по договору;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</w:r>
      <w:proofErr w:type="gramStart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6) условия, предусмотренные ч. 5 ст. 18.1 ФЗ "Об участии в 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указанном в ч. 1 ст. 18.1 ФЗ "Об участии в долевом строительстве многоквартирных домов и иных 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объектов недвижимости и о внесении изменений в некоторые законодательные акты Российской Федерации".</w:t>
      </w:r>
      <w:proofErr w:type="gramEnd"/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  <w:t xml:space="preserve">Условия договора, предусмотренные </w:t>
      </w:r>
      <w:proofErr w:type="gramStart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ч</w:t>
      </w:r>
      <w:proofErr w:type="gramEnd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. 4 ст. 4 ФЗ "Об участии в долевом строительстве многоквартирных домов и иных объектов недвижимости и о внесении измене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ний в некоторые законодательные акты Российской Федерации", должны 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lastRenderedPageBreak/>
        <w:t>соответствовать информации, включенной в проектную декларацию на момент заключения договора. Договор, заключенный в нарушение данного требования, может быть признан судом недействительным т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олько по иску участника долевого строительства, заключившего такой договор.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  <w:t xml:space="preserve">При отсутствии в договоре условий, предусмотренных </w:t>
      </w:r>
      <w:proofErr w:type="gramStart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ч</w:t>
      </w:r>
      <w:proofErr w:type="gramEnd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. 4 ст. 4 ФЗ "Об участии в долевом строительстве многоквартирных домов и иных объектов недвижимости и о внесении изменений в не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которые законодательные акты Российской Федерации", такой договор считается незаключенным.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  <w:t>Риск случайной гибели или случайного повреждения объекта долевого строительства до его передачи участнику долевого строительства несет застройщик.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  <w:t xml:space="preserve">В случае смерти 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гражданина - участника долевого строительства его права и обязанности по договору переходят к наследникам, если федеральным законом не предусмотрено иное. Застройщик не вправе отказать таким наследникам во вступлении в договор.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  <w:t>Существующие на день открыт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ия наследства участника долевого строительства имущественные права и обязанности, основанные на договоре, заключенном в соответствии с ФЗ "Об участии в долевом строительстве многоквартирных домов и иных объектов недвижимости и о внесении изменений в некото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рые законодательные акты Российской Федерации"</w:t>
      </w:r>
      <w:proofErr w:type="gramStart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 ,</w:t>
      </w:r>
      <w:proofErr w:type="gramEnd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 входят в состав наследства участника долевого строительства в соответствии с Гражданским кодексом Российской Федерации.</w:t>
      </w:r>
    </w:p>
    <w:p w:rsidR="00FF2B4F" w:rsidRDefault="00623174">
      <w:pPr>
        <w:pStyle w:val="a6"/>
        <w:spacing w:after="0" w:line="240" w:lineRule="auto"/>
        <w:ind w:firstLine="547"/>
        <w:jc w:val="both"/>
        <w:rPr>
          <w:rFonts w:ascii="Times New Roman" w:hAnsi="Times New Roman"/>
          <w:sz w:val="21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</w:r>
      <w:proofErr w:type="gramStart"/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К отношениям, вытекающим из договора, заключенного гражданином - участником долевого с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ФЗ "Об участии в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  <w:proofErr w:type="gramEnd"/>
    </w:p>
    <w:p w:rsidR="00FF2B4F" w:rsidRPr="00623174" w:rsidRDefault="00623174" w:rsidP="0062317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</w:r>
      <w:proofErr w:type="gramStart"/>
      <w:r w:rsidRPr="0062317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В случаях, предусмотренных Федеральным законом "О содействии развитию жилищного строительства", </w:t>
      </w:r>
      <w:r w:rsidR="00CF0A24"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договоры участия в долевом строительстве жилых помещений, технико-экономические показатели и параметры которых соответствуют условиям отнесения этих жилых помещений к стандартному жилью,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градостроительства, должны содержать сведения, </w:t>
      </w:r>
      <w:r w:rsidRPr="0062317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установленные указанным Федеральным законом.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</w:t>
      </w:r>
      <w:proofErr w:type="gramStart"/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proofErr w:type="gramEnd"/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застройщиком является юридическое лицо, заключившее в соответствии с Градостроительным кодексом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жилья, в договоре участия в долевом строительстве, заключенном этим застройщиком в отношении жилого помещения, соответствующего условиям отнесения к стандартному жилью, установленным федеральным органом исполнительной власти, осуществляющим </w:t>
      </w:r>
      <w:proofErr w:type="gramStart"/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функции по выработке государственной политики и нормативно-правовому регулированию в сфере строительства, архитектуры, градостроительства, участником долевого строительства, который является гражданином, имеющим в соответствии с законодательством Российской Федерации, нормативными правовыми актами субъектов Российской Федерации право на приобретение стандартного жилья, по цене и в сроки, которые определены договором об освоении территории в целях строительства стандартного жилья или договором о комплексном освоении территории в</w:t>
      </w:r>
      <w:proofErr w:type="gramEnd"/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целях строительства стандартного жилья, наряду с предусмотренными ч. 4 ст. 4 </w:t>
      </w:r>
      <w:r w:rsidRPr="0062317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условиями </w:t>
      </w:r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указываются: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1) сведения о том, что жилое помещение, являющееся объектом долевого строительства, является стандартным жильем и создается застройщиком, являющимся лицом, с которым заключен договор об освоении</w:t>
      </w:r>
      <w:proofErr w:type="gramEnd"/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территории в целях строительства стандартного жилья или договор о комплексном освоении территории в целях строительства стандартного жилья;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сведения о реквизитах и сторонах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жилья;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proofErr w:type="gramStart"/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3) цена договора участия в долевом строительстве в расчете на один квадратный метр общей площади объекта долевого строительства, которая не может превышать цену, указанную в протоколе о результатах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жилья, либо в случаях, предусмотренных ч. 24 - 26 ст</w:t>
      </w:r>
      <w:proofErr w:type="gramEnd"/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46.7 Градостроительного кодекса Российской Федерации, начальную цену предмета такого аукциона.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proofErr w:type="gramStart"/>
      <w:r w:rsidRPr="00623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Обязательным приложением к указанному выше договору участия в долевом строительстве является протокол о результатах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в случаях, предусмотренных ч. 24 - 26 статьи 46.7 Градостроительного кодекса Российской Федерации, извещение о проведении такого аукциона.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proofErr w:type="gramStart"/>
      <w:r w:rsidRPr="0062317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К объекту долевого строительства, строительс</w:t>
      </w:r>
      <w:r w:rsidRPr="0062317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тво (создание)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завершено, положения ст. 239.1 Гражданского кодекса Российской Федерации не</w:t>
      </w:r>
      <w:r w:rsidRPr="0062317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применяются.</w:t>
      </w:r>
      <w:proofErr w:type="gramEnd"/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gramStart"/>
      <w:r w:rsidRPr="0062317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ст. 8 ФЗ "Об участии в долевом строительстве многоквартирн</w:t>
      </w:r>
      <w:r w:rsidRPr="0062317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ых домов и иных объектов недвижимости и о внесении изменений в некоторые законодательные акты Российской Федерации" подлежит государственной регистрации в порядке, установленном ФЗ "О государственной регистрации недвижимости".</w:t>
      </w:r>
      <w:proofErr w:type="gramEnd"/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62317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У участника долевой собствен</w:t>
      </w:r>
      <w:r w:rsidRPr="0062317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которая не может быть отчуждена или передана отдельно от права собственности на объект</w:t>
      </w:r>
      <w:r w:rsidRPr="0062317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долевого строительства.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 xml:space="preserve"> собственности на общее имущество.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Договор участия в долевом строительстве и соглашение (договор), на основании которого производится уступка прав требований участника долевого строительства по договору участия в долевом строительстве, подлежат государственной регистрации в порядке, установ</w:t>
      </w:r>
      <w:r>
        <w:rPr>
          <w:rStyle w:val="a4"/>
          <w:rFonts w:ascii="Times New Roman" w:hAnsi="Times New Roman" w:cs="Arial"/>
          <w:b w:val="0"/>
          <w:color w:val="auto"/>
          <w:sz w:val="24"/>
          <w:szCs w:val="24"/>
        </w:rPr>
        <w:t>ленном ФЗ "О государственной регистрации недвижимости".</w:t>
      </w:r>
    </w:p>
    <w:p w:rsidR="00FF2B4F" w:rsidRDefault="00FF2B4F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FF2B4F" w:rsidRDefault="00FF2B4F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FF2B4F" w:rsidRDefault="00FF2B4F">
      <w:pPr>
        <w:pStyle w:val="ConsPlusNormal"/>
        <w:ind w:firstLine="540"/>
        <w:jc w:val="both"/>
        <w:rPr>
          <w:rStyle w:val="a4"/>
          <w:rFonts w:ascii="Times New Roman" w:hAnsi="Times New Roman" w:cs="Arial"/>
          <w:color w:val="auto"/>
          <w:sz w:val="24"/>
        </w:rPr>
      </w:pPr>
    </w:p>
    <w:sectPr w:rsidR="00FF2B4F" w:rsidSect="00FF2B4F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B4F"/>
    <w:rsid w:val="00623174"/>
    <w:rsid w:val="00CF0A24"/>
    <w:rsid w:val="00F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9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28D2"/>
  </w:style>
  <w:style w:type="character" w:customStyle="1" w:styleId="-">
    <w:name w:val="Интернет-ссылка"/>
    <w:basedOn w:val="a0"/>
    <w:uiPriority w:val="99"/>
    <w:semiHidden/>
    <w:unhideWhenUsed/>
    <w:rsid w:val="002F28D2"/>
    <w:rPr>
      <w:color w:val="0000FF"/>
      <w:u w:val="single"/>
    </w:rPr>
  </w:style>
  <w:style w:type="character" w:customStyle="1" w:styleId="a3">
    <w:name w:val="Маркеры списка"/>
    <w:qFormat/>
    <w:rsid w:val="00FF2B4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FF2B4F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FF2B4F"/>
    <w:rPr>
      <w:rFonts w:cs="OpenSymbol"/>
    </w:rPr>
  </w:style>
  <w:style w:type="character" w:customStyle="1" w:styleId="ListLabel3">
    <w:name w:val="ListLabel 3"/>
    <w:qFormat/>
    <w:rsid w:val="00FF2B4F"/>
    <w:rPr>
      <w:rFonts w:cs="OpenSymbol"/>
    </w:rPr>
  </w:style>
  <w:style w:type="character" w:customStyle="1" w:styleId="ListLabel4">
    <w:name w:val="ListLabel 4"/>
    <w:qFormat/>
    <w:rsid w:val="00FF2B4F"/>
    <w:rPr>
      <w:rFonts w:cs="OpenSymbol"/>
    </w:rPr>
  </w:style>
  <w:style w:type="character" w:customStyle="1" w:styleId="ListLabel5">
    <w:name w:val="ListLabel 5"/>
    <w:qFormat/>
    <w:rsid w:val="00FF2B4F"/>
    <w:rPr>
      <w:rFonts w:cs="OpenSymbol"/>
    </w:rPr>
  </w:style>
  <w:style w:type="character" w:customStyle="1" w:styleId="ListLabel6">
    <w:name w:val="ListLabel 6"/>
    <w:qFormat/>
    <w:rsid w:val="00FF2B4F"/>
    <w:rPr>
      <w:rFonts w:cs="OpenSymbol"/>
    </w:rPr>
  </w:style>
  <w:style w:type="character" w:customStyle="1" w:styleId="ListLabel7">
    <w:name w:val="ListLabel 7"/>
    <w:qFormat/>
    <w:rsid w:val="00FF2B4F"/>
    <w:rPr>
      <w:rFonts w:cs="OpenSymbol"/>
    </w:rPr>
  </w:style>
  <w:style w:type="character" w:customStyle="1" w:styleId="ListLabel8">
    <w:name w:val="ListLabel 8"/>
    <w:qFormat/>
    <w:rsid w:val="00FF2B4F"/>
    <w:rPr>
      <w:rFonts w:cs="OpenSymbol"/>
    </w:rPr>
  </w:style>
  <w:style w:type="character" w:customStyle="1" w:styleId="ListLabel9">
    <w:name w:val="ListLabel 9"/>
    <w:qFormat/>
    <w:rsid w:val="00FF2B4F"/>
    <w:rPr>
      <w:rFonts w:cs="OpenSymbol"/>
    </w:rPr>
  </w:style>
  <w:style w:type="character" w:styleId="a4">
    <w:name w:val="Strong"/>
    <w:basedOn w:val="a0"/>
    <w:qFormat/>
    <w:rsid w:val="00FF2B4F"/>
    <w:rPr>
      <w:b/>
      <w:bCs/>
    </w:rPr>
  </w:style>
  <w:style w:type="paragraph" w:customStyle="1" w:styleId="a5">
    <w:name w:val="Заголовок"/>
    <w:basedOn w:val="a"/>
    <w:next w:val="a6"/>
    <w:qFormat/>
    <w:rsid w:val="00FF2B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F2B4F"/>
    <w:pPr>
      <w:spacing w:after="140" w:line="288" w:lineRule="auto"/>
    </w:pPr>
  </w:style>
  <w:style w:type="paragraph" w:styleId="a7">
    <w:name w:val="List"/>
    <w:basedOn w:val="a6"/>
    <w:rsid w:val="00FF2B4F"/>
    <w:rPr>
      <w:rFonts w:cs="Mangal"/>
    </w:rPr>
  </w:style>
  <w:style w:type="paragraph" w:customStyle="1" w:styleId="Caption">
    <w:name w:val="Caption"/>
    <w:basedOn w:val="a"/>
    <w:qFormat/>
    <w:rsid w:val="00FF2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F2B4F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2F28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F2B4F"/>
    <w:pPr>
      <w:suppressAutoHyphens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ConsPlusTitle">
    <w:name w:val="ConsPlusTitle"/>
    <w:qFormat/>
    <w:rsid w:val="00FF2B4F"/>
    <w:pPr>
      <w:suppressAutoHyphens/>
    </w:pPr>
    <w:rPr>
      <w:rFonts w:ascii="Arial" w:eastAsia="Courier New" w:hAnsi="Arial" w:cs="Liberation Serif"/>
      <w:b/>
      <w:color w:val="000000"/>
      <w:sz w:val="16"/>
      <w:szCs w:val="24"/>
      <w:lang w:eastAsia="hi-IN"/>
    </w:rPr>
  </w:style>
  <w:style w:type="paragraph" w:customStyle="1" w:styleId="aa">
    <w:name w:val="Содержимое таблицы"/>
    <w:basedOn w:val="a"/>
    <w:qFormat/>
    <w:rsid w:val="00FF2B4F"/>
  </w:style>
  <w:style w:type="paragraph" w:customStyle="1" w:styleId="ab">
    <w:name w:val="Заголовок таблицы"/>
    <w:basedOn w:val="aa"/>
    <w:qFormat/>
    <w:rsid w:val="00FF2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1584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*</cp:lastModifiedBy>
  <cp:revision>66</cp:revision>
  <dcterms:created xsi:type="dcterms:W3CDTF">2014-03-25T18:57:00Z</dcterms:created>
  <dcterms:modified xsi:type="dcterms:W3CDTF">2018-02-21T09:16:00Z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