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lineRule="auto" w:line="240" w:before="0" w:after="0"/>
        <w:ind w:left="0" w:right="0" w:firstLine="540"/>
        <w:jc w:val="center"/>
        <w:rPr>
          <w:rFonts w:ascii="Times New Roman" w:hAnsi="Times New Roman"/>
          <w:color w:val="auto"/>
          <w:sz w:val="24"/>
          <w:szCs w:val="24"/>
          <w:u w:val="none"/>
        </w:rPr>
      </w:pPr>
      <w:r>
        <w:rPr>
          <w:rFonts w:ascii="Times New Roman" w:hAnsi="Times New Roman"/>
          <w:b/>
          <w:bCs/>
          <w:i w:val="false"/>
          <w:iCs w:val="false"/>
          <w:color w:val="auto"/>
          <w:sz w:val="24"/>
          <w:szCs w:val="24"/>
          <w:u w:val="none"/>
        </w:rPr>
        <w:t>Договор поручения, договор комиссии, агентский договор. Анализ адвокатом условий договора поручения с целью оценки рисков доверителя.</w:t>
      </w:r>
    </w:p>
    <w:p>
      <w:pPr>
        <w:pStyle w:val="ConsPlusNormal"/>
        <w:spacing w:lineRule="auto" w:line="240" w:before="0" w:after="0"/>
        <w:ind w:left="0" w:right="0" w:firstLine="540"/>
        <w:jc w:val="both"/>
        <w:rPr>
          <w:rFonts w:ascii="Times New Roman" w:hAnsi="Times New Roman"/>
          <w:b w:val="false"/>
          <w:b w:val="false"/>
          <w:color w:val="auto"/>
          <w:sz w:val="24"/>
          <w:szCs w:val="24"/>
          <w:u w:val="none"/>
        </w:rPr>
      </w:pPr>
      <w:r>
        <w:rPr>
          <w:rFonts w:ascii="Times New Roman" w:hAnsi="Times New Roman"/>
          <w:b w:val="false"/>
          <w:color w:val="auto"/>
          <w:sz w:val="24"/>
          <w:szCs w:val="24"/>
          <w:u w:val="none"/>
        </w:rPr>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tab/>
        <w:tab/>
        <w:tab/>
        <w:tab/>
        <w:tab/>
        <w:tab/>
        <w:tab/>
        <w:tab/>
        <w:tab/>
        <w:tab/>
        <w:tab/>
        <w:tab/>
        <w:t>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Доверитель обязан уплатить поверенному вознаграждение, если это предусмотрено законом, иными правовыми актами или договором поручения.</w:t>
        <w:tab/>
        <w:tab/>
        <w:tab/>
        <w:tab/>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tab/>
        <w:tab/>
        <w:tab/>
        <w:t xml:space="preserve">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 3 ст. 424 </w:t>
      </w:r>
      <w:r>
        <w:rPr>
          <w:rFonts w:ascii="Times New Roman" w:hAnsi="Times New Roman"/>
          <w:color w:val="auto"/>
          <w:sz w:val="24"/>
          <w:szCs w:val="24"/>
          <w:u w:val="none"/>
        </w:rPr>
        <w:t>ГК РФ</w:t>
      </w:r>
      <w:r>
        <w:rPr>
          <w:rFonts w:ascii="Times New Roman" w:hAnsi="Times New Roman"/>
          <w:color w:val="auto"/>
          <w:sz w:val="24"/>
          <w:szCs w:val="24"/>
          <w:u w:val="none"/>
        </w:rPr>
        <w:t>.</w:t>
        <w:tab/>
        <w:tab/>
        <w:t>Поверенный, действующий в качестве коммерческого представител</w:t>
      </w:r>
      <w:r>
        <w:rPr>
          <w:rFonts w:ascii="Times New Roman" w:hAnsi="Times New Roman"/>
          <w:color w:val="auto"/>
          <w:sz w:val="24"/>
          <w:szCs w:val="24"/>
          <w:u w:val="none"/>
        </w:rPr>
        <w:t>я</w:t>
      </w:r>
      <w:r>
        <w:rPr>
          <w:rFonts w:ascii="Times New Roman" w:hAnsi="Times New Roman"/>
          <w:color w:val="auto"/>
          <w:sz w:val="24"/>
          <w:szCs w:val="24"/>
          <w:u w:val="none"/>
        </w:rPr>
        <w:t>, вправе в соответствии со статьей 359 ГК РФ удерживать находящиеся у него вещи, которые подлежат передаче доверителю, в обеспечение своих требований по договору поручения.</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tab/>
        <w:tab/>
        <w:tab/>
        <w:tab/>
        <w:tab/>
        <w:tab/>
        <w:tab/>
        <w:tab/>
        <w:tab/>
        <w:tab/>
        <w:t>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tab/>
        <w:tab/>
        <w:tab/>
        <w:tab/>
        <w:tab/>
        <w:tab/>
        <w:tab/>
        <w:tab/>
        <w:t>Поверенному, действующему в качестве коммерческого представителя,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Поверенный обязан:</w:t>
        <w:tab/>
        <w:tab/>
        <w:tab/>
        <w:tab/>
        <w:tab/>
        <w:tab/>
        <w:tab/>
        <w:tab/>
        <w:tab/>
        <w:tab/>
      </w:r>
      <w:r>
        <w:rPr>
          <w:rFonts w:ascii="Times New Roman" w:hAnsi="Times New Roman"/>
          <w:color w:val="auto"/>
          <w:sz w:val="24"/>
          <w:szCs w:val="24"/>
          <w:u w:val="none"/>
        </w:rPr>
        <w:t xml:space="preserve">1) </w:t>
      </w:r>
      <w:r>
        <w:rPr>
          <w:rFonts w:ascii="Times New Roman" w:hAnsi="Times New Roman"/>
          <w:color w:val="auto"/>
          <w:sz w:val="24"/>
          <w:szCs w:val="24"/>
          <w:u w:val="none"/>
        </w:rPr>
        <w:t xml:space="preserve">лично исполнять данное ему поручение, за исключением случаев, указанных в </w:t>
      </w:r>
      <w:r>
        <w:rPr>
          <w:rFonts w:ascii="Times New Roman" w:hAnsi="Times New Roman"/>
          <w:color w:val="auto"/>
          <w:sz w:val="24"/>
          <w:szCs w:val="24"/>
          <w:u w:val="none"/>
          <w:lang w:val="zxx" w:eastAsia="zxx"/>
        </w:rPr>
        <w:t>ст. 976</w:t>
      </w:r>
      <w:r>
        <w:rPr>
          <w:rFonts w:ascii="Times New Roman" w:hAnsi="Times New Roman"/>
          <w:color w:val="auto"/>
          <w:sz w:val="24"/>
          <w:szCs w:val="24"/>
          <w:u w:val="none"/>
        </w:rPr>
        <w:t xml:space="preserve"> ГК РФ;</w:t>
        <w:tab/>
        <w:tab/>
        <w:tab/>
        <w:tab/>
        <w:tab/>
        <w:tab/>
        <w:tab/>
        <w:tab/>
        <w:tab/>
        <w:tab/>
        <w:tab/>
        <w:tab/>
      </w:r>
      <w:r>
        <w:rPr>
          <w:rFonts w:ascii="Times New Roman" w:hAnsi="Times New Roman"/>
          <w:color w:val="auto"/>
          <w:sz w:val="24"/>
          <w:szCs w:val="24"/>
          <w:u w:val="none"/>
        </w:rPr>
        <w:t xml:space="preserve">2) </w:t>
      </w:r>
      <w:r>
        <w:rPr>
          <w:rFonts w:ascii="Times New Roman" w:hAnsi="Times New Roman"/>
          <w:color w:val="auto"/>
          <w:sz w:val="24"/>
          <w:szCs w:val="24"/>
          <w:u w:val="none"/>
        </w:rPr>
        <w:t>сообщать доверителю по его требованию все сведения о ходе исполнения поручения;</w:t>
        <w:tab/>
        <w:tab/>
        <w:tab/>
        <w:tab/>
        <w:tab/>
        <w:tab/>
        <w:tab/>
        <w:tab/>
        <w:tab/>
        <w:tab/>
        <w:tab/>
        <w:tab/>
      </w:r>
      <w:r>
        <w:rPr>
          <w:rFonts w:ascii="Times New Roman" w:hAnsi="Times New Roman"/>
          <w:color w:val="auto"/>
          <w:sz w:val="24"/>
          <w:szCs w:val="24"/>
          <w:u w:val="none"/>
        </w:rPr>
        <w:t xml:space="preserve">3) </w:t>
      </w:r>
      <w:r>
        <w:rPr>
          <w:rFonts w:ascii="Times New Roman" w:hAnsi="Times New Roman"/>
          <w:color w:val="auto"/>
          <w:sz w:val="24"/>
          <w:szCs w:val="24"/>
          <w:u w:val="none"/>
        </w:rPr>
        <w:t>передавать доверителю без промедления все полученное по сделкам, совершенным во исполнение поручения;</w:t>
        <w:tab/>
        <w:tab/>
        <w:tab/>
        <w:tab/>
        <w:tab/>
        <w:tab/>
        <w:tab/>
        <w:tab/>
      </w:r>
      <w:r>
        <w:rPr>
          <w:rFonts w:ascii="Times New Roman" w:hAnsi="Times New Roman"/>
          <w:color w:val="auto"/>
          <w:sz w:val="24"/>
          <w:szCs w:val="24"/>
          <w:u w:val="none"/>
        </w:rPr>
        <w:t xml:space="preserve">4) </w:t>
      </w:r>
      <w:r>
        <w:rPr>
          <w:rFonts w:ascii="Times New Roman" w:hAnsi="Times New Roman"/>
          <w:color w:val="auto"/>
          <w:sz w:val="24"/>
          <w:szCs w:val="24"/>
          <w:u w:val="none"/>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 </w:t>
      </w:r>
      <w:r>
        <w:rPr>
          <w:rFonts w:ascii="Times New Roman" w:hAnsi="Times New Roman"/>
          <w:color w:val="auto"/>
          <w:sz w:val="24"/>
          <w:szCs w:val="24"/>
          <w:u w:val="none"/>
        </w:rPr>
        <w:t>2</w:t>
      </w:r>
      <w:r>
        <w:rPr>
          <w:rFonts w:ascii="Times New Roman" w:hAnsi="Times New Roman"/>
          <w:color w:val="auto"/>
          <w:sz w:val="24"/>
          <w:szCs w:val="24"/>
          <w:u w:val="none"/>
        </w:rPr>
        <w:t xml:space="preserve"> п. 1 ст.атьи 182 ГК РФ.</w:t>
        <w:tab/>
        <w:tab/>
        <w:t>Доверитель обязан, если иное не предусмотрено договором:</w:t>
        <w:tab/>
        <w:tab/>
        <w:tab/>
        <w:tab/>
      </w:r>
      <w:r>
        <w:rPr>
          <w:rFonts w:ascii="Times New Roman" w:hAnsi="Times New Roman"/>
          <w:color w:val="auto"/>
          <w:sz w:val="24"/>
          <w:szCs w:val="24"/>
          <w:u w:val="none"/>
        </w:rPr>
        <w:t xml:space="preserve">1) </w:t>
      </w:r>
      <w:r>
        <w:rPr>
          <w:rFonts w:ascii="Times New Roman" w:hAnsi="Times New Roman"/>
          <w:color w:val="auto"/>
          <w:sz w:val="24"/>
          <w:szCs w:val="24"/>
          <w:u w:val="none"/>
        </w:rPr>
        <w:t>возмещать поверенному понесенные издержки;</w:t>
        <w:tab/>
        <w:tab/>
        <w:tab/>
        <w:tab/>
        <w:tab/>
        <w:tab/>
      </w:r>
      <w:r>
        <w:rPr>
          <w:rFonts w:ascii="Times New Roman" w:hAnsi="Times New Roman"/>
          <w:color w:val="auto"/>
          <w:sz w:val="24"/>
          <w:szCs w:val="24"/>
          <w:u w:val="none"/>
        </w:rPr>
        <w:t xml:space="preserve">2) </w:t>
      </w:r>
      <w:r>
        <w:rPr>
          <w:rFonts w:ascii="Times New Roman" w:hAnsi="Times New Roman"/>
          <w:color w:val="auto"/>
          <w:sz w:val="24"/>
          <w:szCs w:val="24"/>
          <w:u w:val="none"/>
        </w:rPr>
        <w:t>обеспечивать поверенного средствами, необходимыми для исполнения поручения.</w:t>
        <w:tab/>
        <w:tab/>
        <w:tab/>
        <w:tab/>
        <w:tab/>
        <w:tab/>
        <w:tab/>
        <w:tab/>
        <w:tab/>
        <w:tab/>
        <w:tab/>
        <w:t>Доверитель обязан без промедления принять от поверенного все исполненное им в соответствии с договором поручения.</w:t>
        <w:tab/>
        <w:tab/>
        <w:tab/>
        <w:tab/>
        <w:tab/>
        <w:tab/>
        <w:tab/>
        <w:t xml:space="preserve">Доверитель обязан уплатить поверенному вознаграждение, если в соответствии со </w:t>
      </w:r>
      <w:r>
        <w:rPr>
          <w:rFonts w:ascii="Times New Roman" w:hAnsi="Times New Roman"/>
          <w:color w:val="auto"/>
          <w:sz w:val="24"/>
          <w:szCs w:val="24"/>
          <w:u w:val="none"/>
          <w:lang w:val="zxx" w:eastAsia="zxx"/>
        </w:rPr>
        <w:t>ст. 972</w:t>
      </w:r>
      <w:r>
        <w:rPr>
          <w:rFonts w:ascii="Times New Roman" w:hAnsi="Times New Roman"/>
          <w:color w:val="auto"/>
          <w:sz w:val="24"/>
          <w:szCs w:val="24"/>
          <w:u w:val="none"/>
        </w:rPr>
        <w:t xml:space="preserve"> ГК РФ договор поручения является возмездным.</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Поверенный вправе передать исполнение поручения другому лицу (заместителю) лишь в случаях и на условиях, предусмотренных ст.187 ГК РФ.</w:t>
        <w:tab/>
        <w:tab/>
        <w:tab/>
        <w:tab/>
        <w:t>Доверитель вправе отвести заместителя, избранного поверенным.</w:t>
        <w:tab/>
        <w:tab/>
        <w:tab/>
        <w:t>Если возможный заместитель поверенного поименован в договоре поручения, поверенный не отвечает ни за его выбор, ни за ведение им дел.</w:t>
        <w:tab/>
        <w:tab/>
        <w:tab/>
        <w:tab/>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Договор поручения прекращается вследствие:</w:t>
        <w:tab/>
        <w:tab/>
        <w:tab/>
        <w:tab/>
        <w:tab/>
        <w:tab/>
      </w:r>
      <w:r>
        <w:rPr>
          <w:rFonts w:ascii="Times New Roman" w:hAnsi="Times New Roman"/>
          <w:color w:val="auto"/>
          <w:sz w:val="24"/>
          <w:szCs w:val="24"/>
          <w:u w:val="none"/>
        </w:rPr>
        <w:t xml:space="preserve">1) </w:t>
      </w:r>
      <w:r>
        <w:rPr>
          <w:rFonts w:ascii="Times New Roman" w:hAnsi="Times New Roman"/>
          <w:color w:val="auto"/>
          <w:sz w:val="24"/>
          <w:szCs w:val="24"/>
          <w:u w:val="none"/>
        </w:rPr>
        <w:t>отмены поручения доверителем;</w:t>
        <w:tab/>
        <w:tab/>
        <w:tab/>
        <w:tab/>
        <w:tab/>
        <w:tab/>
        <w:tab/>
      </w:r>
      <w:r>
        <w:rPr>
          <w:rFonts w:ascii="Times New Roman" w:hAnsi="Times New Roman"/>
          <w:color w:val="auto"/>
          <w:sz w:val="24"/>
          <w:szCs w:val="24"/>
          <w:u w:val="none"/>
        </w:rPr>
        <w:t xml:space="preserve">2) </w:t>
      </w:r>
      <w:r>
        <w:rPr>
          <w:rFonts w:ascii="Times New Roman" w:hAnsi="Times New Roman"/>
          <w:color w:val="auto"/>
          <w:sz w:val="24"/>
          <w:szCs w:val="24"/>
          <w:u w:val="none"/>
        </w:rPr>
        <w:t>отказа поверенного;</w:t>
        <w:tab/>
        <w:tab/>
        <w:tab/>
        <w:tab/>
        <w:tab/>
        <w:tab/>
        <w:tab/>
        <w:tab/>
        <w:tab/>
      </w:r>
      <w:r>
        <w:rPr>
          <w:rFonts w:ascii="Times New Roman" w:hAnsi="Times New Roman"/>
          <w:color w:val="auto"/>
          <w:sz w:val="24"/>
          <w:szCs w:val="24"/>
          <w:u w:val="none"/>
        </w:rPr>
        <w:t xml:space="preserve">3) </w:t>
      </w:r>
      <w:r>
        <w:rPr>
          <w:rFonts w:ascii="Times New Roman" w:hAnsi="Times New Roman"/>
          <w:color w:val="auto"/>
          <w:sz w:val="24"/>
          <w:szCs w:val="24"/>
          <w:u w:val="none"/>
        </w:rPr>
        <w:t>смерти доверителя или поверенного, признания кого-либо из них недееспособным, ограниченно дееспособным или безвестно отсутствующим.</w:t>
        <w:tab/>
        <w:t>Доверитель вправе отменить поручение, а поверенный отказаться от него во всякое время. Соглашение об отказе от этого права ничтожно.</w:t>
        <w:tab/>
        <w:tab/>
        <w:tab/>
        <w:tab/>
        <w:tab/>
        <w:t>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tab/>
        <w:tab/>
        <w:tab/>
        <w:tab/>
        <w:tab/>
        <w:tab/>
        <w:tab/>
        <w:tab/>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tab/>
        <w:tab/>
        <w:tab/>
        <w:tab/>
        <w:tab/>
        <w:tab/>
        <w:tab/>
        <w:tab/>
        <w:tab/>
        <w:tab/>
        <w:t>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tab/>
        <w:tab/>
        <w:tab/>
        <w:tab/>
        <w:tab/>
        <w:tab/>
        <w:tab/>
        <w:tab/>
        <w:tab/>
        <w:t>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tab/>
        <w:tab/>
        <w:tab/>
        <w:tab/>
        <w:tab/>
        <w:tab/>
        <w:tab/>
        <w:tab/>
        <w:tab/>
        <w:tab/>
        <w:tab/>
        <w:tab/>
      </w:r>
      <w:r>
        <w:rPr>
          <w:rFonts w:ascii="Times New Roman" w:hAnsi="Times New Roman"/>
          <w:b w:val="false"/>
          <w:bCs w:val="false"/>
          <w:i w:val="false"/>
          <w:iCs w:val="false"/>
          <w:color w:val="auto"/>
          <w:sz w:val="24"/>
          <w:szCs w:val="24"/>
          <w:u w:val="none"/>
        </w:rPr>
        <w:t>Такая же обязанность лежит на ликвидаторе юридического лица, являющегося поверенным.</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tab/>
        <w:tab/>
        <w:tab/>
        <w:tab/>
        <w:tab/>
        <w:tab/>
        <w:tab/>
        <w:tab/>
        <w:tab/>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pPr>
        <w:pStyle w:val="ConsPlusNormal"/>
        <w:spacing w:lineRule="auto" w:line="240" w:before="20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tab/>
        <w:tab/>
        <w:tab/>
        <w:tab/>
        <w:tab/>
        <w:tab/>
        <w:tab/>
        <w:tab/>
        <w:tab/>
        <w:t>Законом и иными правовыми актами могут быть предусмотрены особенности отдельных видов договора комиссии.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tab/>
        <w:tab/>
        <w:tab/>
        <w:tab/>
        <w:tab/>
        <w:tab/>
        <w:tab/>
        <w:tab/>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 3 ст. 424 ГК РФ.</w:t>
        <w:tab/>
        <w:tab/>
        <w:tab/>
        <w:tab/>
        <w:tab/>
        <w:tab/>
        <w:t>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tab/>
        <w:tab/>
        <w:tab/>
        <w:tab/>
        <w:tab/>
        <w:tab/>
        <w:tab/>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w:t>
        <w:tab/>
        <w:tab/>
        <w:tab/>
        <w:tab/>
        <w:tab/>
        <w:tab/>
        <w:tab/>
        <w:t xml:space="preserve">Уступка прав комитенту по сделке </w:t>
      </w:r>
      <w:r>
        <w:rPr>
          <w:rFonts w:ascii="Times New Roman" w:hAnsi="Times New Roman"/>
          <w:color w:val="auto"/>
          <w:sz w:val="24"/>
          <w:szCs w:val="24"/>
          <w:u w:val="none"/>
        </w:rPr>
        <w:t>по</w:t>
      </w:r>
      <w:r>
        <w:rPr>
          <w:rFonts w:ascii="Times New Roman" w:hAnsi="Times New Roman"/>
          <w:color w:val="auto"/>
          <w:sz w:val="24"/>
          <w:szCs w:val="24"/>
          <w:u w:val="none"/>
        </w:rPr>
        <w:t xml:space="preserve"> основани</w:t>
      </w:r>
      <w:r>
        <w:rPr>
          <w:rFonts w:ascii="Times New Roman" w:hAnsi="Times New Roman"/>
          <w:color w:val="auto"/>
          <w:sz w:val="24"/>
          <w:szCs w:val="24"/>
          <w:u w:val="none"/>
        </w:rPr>
        <w:t>ю, указанному выше,</w:t>
      </w:r>
      <w:r>
        <w:rPr>
          <w:rFonts w:ascii="Times New Roman" w:hAnsi="Times New Roman"/>
          <w:color w:val="auto"/>
          <w:sz w:val="24"/>
          <w:szCs w:val="24"/>
          <w:u w:val="none"/>
        </w:rPr>
        <w:t xml:space="preserve">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tab/>
        <w:tab/>
        <w:tab/>
        <w:tab/>
        <w:tab/>
        <w:t>По договору субкомиссии комиссионер приобретает в отношении субкомиссионера права и обязанности комитента.</w:t>
        <w:tab/>
        <w:tab/>
        <w:tab/>
        <w:tab/>
        <w:tab/>
        <w:tab/>
        <w:tab/>
        <w:tab/>
        <w:tab/>
        <w:t>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tab/>
        <w:tab/>
        <w:tab/>
        <w:tab/>
        <w:tab/>
        <w:tab/>
        <w:tab/>
        <w:tab/>
        <w:tab/>
        <w:tab/>
        <w:tab/>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tab/>
        <w:tab/>
        <w:tab/>
        <w:tab/>
        <w:tab/>
        <w:t>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tab/>
        <w:tab/>
        <w:tab/>
        <w:tab/>
        <w:tab/>
        <w:t>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tab/>
        <w:tab/>
        <w:tab/>
        <w:tab/>
        <w:tab/>
        <w:t>Если комиссионер сообщил, что принимает разницу в цене на свой счет, комитент не вправе отказаться от заключенной для него сделки.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Вещи, поступившие к комиссионеру от комитента либо приобретенные комиссионером за счет комитента, являются собственностью последнего.</w:t>
        <w:tab/>
        <w:tab/>
        <w:tab/>
        <w:t>Комиссионер вправе в соответствии со статьей 359 ГК РФ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tab/>
        <w:tab/>
        <w:tab/>
        <w:tab/>
        <w:tab/>
        <w:tab/>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360 ГК РФ наравне с требованиями, обеспеченными залогом.</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Комиссионер вправе в соответствии со статьей 410 ГК РФ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Комиссионер отвечает перед комитентом за утрату, недостачу или повреждение находящегося у него имущества комитента.</w:t>
        <w:tab/>
        <w:tab/>
        <w:tab/>
        <w:tab/>
        <w:tab/>
        <w:tab/>
        <w:tab/>
        <w:t>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tab/>
        <w:tab/>
        <w:tab/>
        <w:t>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Комитент обязан:</w:t>
        <w:tab/>
        <w:tab/>
        <w:tab/>
        <w:tab/>
        <w:tab/>
        <w:tab/>
        <w:tab/>
        <w:tab/>
        <w:tab/>
        <w:tab/>
      </w:r>
      <w:r>
        <w:rPr>
          <w:rFonts w:ascii="Times New Roman" w:hAnsi="Times New Roman"/>
          <w:color w:val="auto"/>
          <w:sz w:val="24"/>
          <w:szCs w:val="24"/>
          <w:u w:val="none"/>
        </w:rPr>
        <w:t xml:space="preserve">1) </w:t>
      </w:r>
      <w:r>
        <w:rPr>
          <w:rFonts w:ascii="Times New Roman" w:hAnsi="Times New Roman"/>
          <w:color w:val="auto"/>
          <w:sz w:val="24"/>
          <w:szCs w:val="24"/>
          <w:u w:val="none"/>
        </w:rPr>
        <w:t>принять от комиссионера все исполненное по договору комиссии;</w:t>
        <w:tab/>
        <w:tab/>
        <w:tab/>
        <w:tab/>
      </w:r>
      <w:r>
        <w:rPr>
          <w:rFonts w:ascii="Times New Roman" w:hAnsi="Times New Roman"/>
          <w:color w:val="auto"/>
          <w:sz w:val="24"/>
          <w:szCs w:val="24"/>
          <w:u w:val="none"/>
        </w:rPr>
        <w:t xml:space="preserve">2) </w:t>
      </w:r>
      <w:r>
        <w:rPr>
          <w:rFonts w:ascii="Times New Roman" w:hAnsi="Times New Roman"/>
          <w:color w:val="auto"/>
          <w:sz w:val="24"/>
          <w:szCs w:val="24"/>
          <w:u w:val="none"/>
        </w:rPr>
        <w:t>осмотреть имущество, приобретенное для него комиссионером, и известить последнего без промедления об обнаруженных в этом имуществе недостатках;</w:t>
        <w:tab/>
        <w:tab/>
        <w:tab/>
      </w:r>
      <w:r>
        <w:rPr>
          <w:rFonts w:ascii="Times New Roman" w:hAnsi="Times New Roman"/>
          <w:color w:val="auto"/>
          <w:sz w:val="24"/>
          <w:szCs w:val="24"/>
          <w:u w:val="none"/>
        </w:rPr>
        <w:t xml:space="preserve">3) </w:t>
      </w:r>
      <w:r>
        <w:rPr>
          <w:rFonts w:ascii="Times New Roman" w:hAnsi="Times New Roman"/>
          <w:color w:val="auto"/>
          <w:sz w:val="24"/>
          <w:szCs w:val="24"/>
          <w:u w:val="none"/>
        </w:rPr>
        <w:t>освободить комиссионера от обязательств, принятых им на себя перед третьим лицом по исполнению комиссионного поручения.</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tab/>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Договор комиссии прекращается вследствие:</w:t>
        <w:tab/>
        <w:tab/>
        <w:tab/>
        <w:tab/>
        <w:tab/>
        <w:tab/>
      </w:r>
      <w:r>
        <w:rPr>
          <w:rFonts w:ascii="Times New Roman" w:hAnsi="Times New Roman"/>
          <w:color w:val="auto"/>
          <w:sz w:val="24"/>
          <w:szCs w:val="24"/>
          <w:u w:val="none"/>
        </w:rPr>
        <w:t xml:space="preserve">1) </w:t>
      </w:r>
      <w:r>
        <w:rPr>
          <w:rFonts w:ascii="Times New Roman" w:hAnsi="Times New Roman"/>
          <w:color w:val="auto"/>
          <w:sz w:val="24"/>
          <w:szCs w:val="24"/>
          <w:u w:val="none"/>
        </w:rPr>
        <w:t>отказа комитента от исполнения договора;</w:t>
        <w:tab/>
        <w:tab/>
        <w:tab/>
        <w:tab/>
        <w:tab/>
        <w:tab/>
      </w:r>
      <w:r>
        <w:rPr>
          <w:rFonts w:ascii="Times New Roman" w:hAnsi="Times New Roman"/>
          <w:color w:val="auto"/>
          <w:sz w:val="24"/>
          <w:szCs w:val="24"/>
          <w:u w:val="none"/>
        </w:rPr>
        <w:t xml:space="preserve">2) </w:t>
      </w:r>
      <w:r>
        <w:rPr>
          <w:rFonts w:ascii="Times New Roman" w:hAnsi="Times New Roman"/>
          <w:color w:val="auto"/>
          <w:sz w:val="24"/>
          <w:szCs w:val="24"/>
          <w:u w:val="none"/>
        </w:rPr>
        <w:t xml:space="preserve">отказа комиссионера от исполнения договора в случаях, предусмотренных </w:t>
      </w:r>
      <w:r>
        <w:rPr>
          <w:rFonts w:ascii="Times New Roman" w:hAnsi="Times New Roman"/>
          <w:color w:val="auto"/>
          <w:sz w:val="24"/>
          <w:szCs w:val="24"/>
          <w:u w:val="none"/>
          <w:lang w:val="zxx" w:eastAsia="zxx"/>
        </w:rPr>
        <w:t>законом</w:t>
      </w:r>
      <w:r>
        <w:rPr>
          <w:rFonts w:ascii="Times New Roman" w:hAnsi="Times New Roman"/>
          <w:color w:val="auto"/>
          <w:sz w:val="24"/>
          <w:szCs w:val="24"/>
          <w:u w:val="none"/>
        </w:rPr>
        <w:t xml:space="preserve"> или договором;</w:t>
        <w:tab/>
        <w:tab/>
        <w:tab/>
        <w:tab/>
        <w:tab/>
        <w:tab/>
        <w:tab/>
        <w:tab/>
        <w:tab/>
        <w:tab/>
      </w:r>
      <w:r>
        <w:rPr>
          <w:rFonts w:ascii="Times New Roman" w:hAnsi="Times New Roman"/>
          <w:color w:val="auto"/>
          <w:sz w:val="24"/>
          <w:szCs w:val="24"/>
          <w:u w:val="none"/>
        </w:rPr>
        <w:t xml:space="preserve">3) </w:t>
      </w:r>
      <w:r>
        <w:rPr>
          <w:rFonts w:ascii="Times New Roman" w:hAnsi="Times New Roman"/>
          <w:color w:val="auto"/>
          <w:sz w:val="24"/>
          <w:szCs w:val="24"/>
          <w:u w:val="none"/>
        </w:rPr>
        <w:t>смерти комиссионера, признания его недееспособным, ограниченно дееспособным или безвестно отсутствующим;</w:t>
        <w:tab/>
        <w:tab/>
        <w:tab/>
        <w:tab/>
        <w:tab/>
        <w:tab/>
        <w:tab/>
      </w:r>
      <w:r>
        <w:rPr>
          <w:rFonts w:ascii="Times New Roman" w:hAnsi="Times New Roman"/>
          <w:color w:val="auto"/>
          <w:sz w:val="24"/>
          <w:szCs w:val="24"/>
          <w:u w:val="none"/>
        </w:rPr>
        <w:t xml:space="preserve">4) </w:t>
      </w:r>
      <w:r>
        <w:rPr>
          <w:rFonts w:ascii="Times New Roman" w:hAnsi="Times New Roman"/>
          <w:color w:val="auto"/>
          <w:sz w:val="24"/>
          <w:szCs w:val="24"/>
          <w:u w:val="none"/>
        </w:rPr>
        <w:t>признания индивидуального предпринимателя, являющегося комиссионером, несостоятельным (банкротом).</w:t>
        <w:tab/>
        <w:tab/>
        <w:tab/>
        <w:tab/>
        <w:tab/>
        <w:tab/>
        <w:tab/>
        <w:tab/>
        <w:tab/>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tab/>
        <w:tab/>
        <w:tab/>
        <w:tab/>
        <w:tab/>
        <w:tab/>
        <w:tab/>
        <w:tab/>
        <w:t>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tab/>
        <w:tab/>
        <w:tab/>
        <w:tab/>
        <w:tab/>
        <w:tab/>
        <w:tab/>
        <w:tab/>
        <w:tab/>
        <w:tab/>
        <w:tab/>
        <w:tab/>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tab/>
        <w:tab/>
        <w:tab/>
        <w:tab/>
        <w:tab/>
        <w:tab/>
        <w:tab/>
        <w:tab/>
        <w:t>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tab/>
        <w:tab/>
        <w:tab/>
        <w:tab/>
        <w:tab/>
        <w:tab/>
        <w:t>Комиссионер обязан принять меры, необходимые для обеспечения сохранности имущества комитента.</w:t>
        <w:tab/>
        <w:tab/>
        <w:tab/>
        <w:tab/>
        <w:tab/>
        <w:tab/>
        <w:tab/>
        <w:tab/>
        <w:tab/>
        <w:t>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tab/>
        <w:tab/>
        <w:t>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tab/>
        <w:tab/>
        <w:tab/>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tab/>
        <w:tab/>
        <w:tab/>
        <w:tab/>
        <w:tab/>
        <w:tab/>
        <w:tab/>
        <w:tab/>
        <w:tab/>
        <w:tab/>
        <w:tab/>
        <w:t xml:space="preserve">По сделке, совершенной агентом с третьим лицом от имени и за счет принципала, права и обязанности возникают непосредственно у принципала. </w:t>
        <w:tab/>
        <w:tab/>
        <w:tab/>
        <w:tab/>
        <w:t>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tab/>
        <w:tab/>
        <w:tab/>
        <w:tab/>
        <w:tab/>
        <w:tab/>
        <w:tab/>
        <w:t>Агентский договор может быть заключен на определенный срок или без указания срока его действия.</w:t>
        <w:tab/>
        <w:tab/>
        <w:tab/>
        <w:tab/>
        <w:tab/>
        <w:tab/>
        <w:tab/>
        <w:tab/>
        <w:tab/>
        <w:tab/>
        <w:tab/>
        <w:t>Законом могут быть предусмотрены особенности отдельных видов агентского договора.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Принципал обязан уплатить агенту вознаграждение в размере и в порядке, установленных в агентском договоре.</w:t>
        <w:tab/>
        <w:tab/>
        <w:tab/>
        <w:tab/>
        <w:tab/>
        <w:tab/>
        <w:tab/>
        <w:tab/>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 3 ст. 424 ГК РФ.</w:t>
        <w:tab/>
        <w:tab/>
        <w:tab/>
        <w:tab/>
        <w:tab/>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tab/>
        <w:tab/>
        <w:tab/>
        <w:tab/>
        <w:tab/>
        <w:tab/>
        <w:tab/>
        <w:tab/>
        <w:tab/>
        <w:t>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tab/>
        <w:tab/>
        <w:tab/>
        <w:tab/>
        <w:tab/>
        <w:tab/>
        <w:tab/>
        <w:tab/>
        <w:tab/>
        <w:tab/>
        <w:t>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tab/>
        <w:tab/>
        <w:tab/>
        <w:tab/>
        <w:tab/>
        <w:tab/>
        <w:t>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tab/>
        <w:tab/>
        <w:tab/>
        <w:tab/>
        <w:tab/>
        <w:tab/>
        <w:tab/>
        <w:tab/>
        <w:tab/>
        <w:tab/>
        <w:tab/>
        <w:t>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tab/>
        <w:tab/>
        <w:tab/>
        <w:tab/>
        <w:tab/>
        <w:tab/>
        <w:t xml:space="preserve">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п. 1 ст. 187 ГК РФ субагент может действовать на основе передоверия. Порядок и последствия такого передоверия определяются по правилам, предусмотренным </w:t>
      </w:r>
      <w:r>
        <w:rPr>
          <w:rFonts w:ascii="Times New Roman" w:hAnsi="Times New Roman"/>
          <w:color w:val="auto"/>
          <w:sz w:val="24"/>
          <w:szCs w:val="24"/>
          <w:u w:val="none"/>
          <w:lang w:val="zxx" w:eastAsia="zxx"/>
        </w:rPr>
        <w:t>ст. 976</w:t>
      </w:r>
      <w:r>
        <w:rPr>
          <w:rFonts w:ascii="Times New Roman" w:hAnsi="Times New Roman"/>
          <w:color w:val="auto"/>
          <w:sz w:val="24"/>
          <w:szCs w:val="24"/>
          <w:u w:val="none"/>
        </w:rPr>
        <w:t xml:space="preserve"> ГК РФ.</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Агентский договор прекращается вследствие:</w:t>
        <w:tab/>
        <w:tab/>
        <w:tab/>
        <w:tab/>
        <w:tab/>
        <w:tab/>
      </w:r>
      <w:r>
        <w:rPr>
          <w:rFonts w:ascii="Times New Roman" w:hAnsi="Times New Roman"/>
          <w:color w:val="auto"/>
          <w:sz w:val="24"/>
          <w:szCs w:val="24"/>
          <w:u w:val="none"/>
        </w:rPr>
        <w:t xml:space="preserve">1) </w:t>
      </w:r>
      <w:r>
        <w:rPr>
          <w:rFonts w:ascii="Times New Roman" w:hAnsi="Times New Roman"/>
          <w:color w:val="auto"/>
          <w:sz w:val="24"/>
          <w:szCs w:val="24"/>
          <w:u w:val="none"/>
        </w:rPr>
        <w:t>отказа одной из сторон от исполнения договора, заключенного без определения срока окончания его действия;</w:t>
        <w:tab/>
        <w:tab/>
        <w:tab/>
        <w:tab/>
        <w:tab/>
        <w:tab/>
        <w:tab/>
        <w:tab/>
        <w:tab/>
      </w:r>
      <w:r>
        <w:rPr>
          <w:rFonts w:ascii="Times New Roman" w:hAnsi="Times New Roman"/>
          <w:color w:val="auto"/>
          <w:sz w:val="24"/>
          <w:szCs w:val="24"/>
          <w:u w:val="none"/>
        </w:rPr>
        <w:t xml:space="preserve">2) </w:t>
      </w:r>
      <w:r>
        <w:rPr>
          <w:rFonts w:ascii="Times New Roman" w:hAnsi="Times New Roman"/>
          <w:color w:val="auto"/>
          <w:sz w:val="24"/>
          <w:szCs w:val="24"/>
          <w:u w:val="none"/>
        </w:rPr>
        <w:t>смерти агента, признания его недееспособным, ограниченно дееспособным или безвестно отсутствующим;</w:t>
        <w:tab/>
        <w:tab/>
        <w:tab/>
        <w:tab/>
        <w:tab/>
        <w:tab/>
        <w:tab/>
        <w:tab/>
        <w:tab/>
        <w:tab/>
      </w:r>
      <w:r>
        <w:rPr>
          <w:rFonts w:ascii="Times New Roman" w:hAnsi="Times New Roman"/>
          <w:color w:val="auto"/>
          <w:sz w:val="24"/>
          <w:szCs w:val="24"/>
          <w:u w:val="none"/>
        </w:rPr>
        <w:t xml:space="preserve">3) </w:t>
      </w:r>
      <w:r>
        <w:rPr>
          <w:rFonts w:ascii="Times New Roman" w:hAnsi="Times New Roman"/>
          <w:color w:val="auto"/>
          <w:sz w:val="24"/>
          <w:szCs w:val="24"/>
          <w:u w:val="none"/>
        </w:rPr>
        <w:t>признания индивидуального предпринимателя, являющегося агентом, несостоятельным (банкротом).</w:t>
      </w:r>
    </w:p>
    <w:p>
      <w:pPr>
        <w:pStyle w:val="ConsPlusNormal"/>
        <w:spacing w:lineRule="auto" w:line="240" w:before="0" w:after="0"/>
        <w:ind w:left="0" w:right="0" w:firstLine="540"/>
        <w:jc w:val="both"/>
        <w:rPr>
          <w:rFonts w:ascii="Times New Roman" w:hAnsi="Times New Roman"/>
          <w:b w:val="false"/>
          <w:b w:val="false"/>
          <w:color w:val="auto"/>
          <w:sz w:val="24"/>
          <w:szCs w:val="24"/>
          <w:u w:val="none"/>
        </w:rPr>
      </w:pPr>
      <w:r>
        <w:rPr>
          <w:rFonts w:ascii="Times New Roman" w:hAnsi="Times New Roman"/>
          <w:b w:val="false"/>
          <w:bCs w:val="false"/>
          <w:i w:val="false"/>
          <w:iCs w:val="false"/>
          <w:color w:val="auto"/>
          <w:sz w:val="24"/>
          <w:szCs w:val="24"/>
          <w:u w:val="none"/>
        </w:rPr>
        <w:tab/>
        <w:t xml:space="preserve">К отношениям, вытекающим из агентского договора, соответственно применяются правила, предусмотренные </w:t>
      </w:r>
      <w:r>
        <w:rPr>
          <w:rFonts w:ascii="Times New Roman" w:hAnsi="Times New Roman"/>
          <w:b w:val="false"/>
          <w:bCs w:val="false"/>
          <w:i w:val="false"/>
          <w:iCs w:val="false"/>
          <w:color w:val="auto"/>
          <w:sz w:val="24"/>
          <w:szCs w:val="24"/>
          <w:u w:val="none"/>
          <w:lang w:val="zxx" w:eastAsia="zxx"/>
        </w:rPr>
        <w:t>гл. 49</w:t>
      </w:r>
      <w:r>
        <w:rPr>
          <w:rFonts w:ascii="Times New Roman" w:hAnsi="Times New Roman"/>
          <w:b w:val="false"/>
          <w:bCs w:val="false"/>
          <w:i w:val="false"/>
          <w:iCs w:val="false"/>
          <w:color w:val="auto"/>
          <w:sz w:val="24"/>
          <w:szCs w:val="24"/>
          <w:u w:val="none"/>
        </w:rPr>
        <w:t xml:space="preserve"> или </w:t>
      </w:r>
      <w:r>
        <w:rPr>
          <w:rFonts w:ascii="Times New Roman" w:hAnsi="Times New Roman"/>
          <w:b w:val="false"/>
          <w:bCs w:val="false"/>
          <w:i w:val="false"/>
          <w:iCs w:val="false"/>
          <w:color w:val="auto"/>
          <w:sz w:val="24"/>
          <w:szCs w:val="24"/>
          <w:u w:val="none"/>
          <w:lang w:val="zxx" w:eastAsia="zxx"/>
        </w:rPr>
        <w:t>гл. 51</w:t>
      </w:r>
      <w:r>
        <w:rPr>
          <w:rFonts w:ascii="Times New Roman" w:hAnsi="Times New Roman"/>
          <w:b w:val="false"/>
          <w:bCs w:val="false"/>
          <w:i w:val="false"/>
          <w:iCs w:val="false"/>
          <w:color w:val="auto"/>
          <w:sz w:val="24"/>
          <w:szCs w:val="24"/>
          <w:u w:val="none"/>
        </w:rPr>
        <w:t xml:space="preserve"> ГК РФ,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r>
        <w:rPr>
          <w:rFonts w:ascii="Times New Roman" w:hAnsi="Times New Roman"/>
          <w:b w:val="false"/>
          <w:bCs w:val="false"/>
          <w:i w:val="false"/>
          <w:iCs w:val="false"/>
          <w:color w:val="auto"/>
          <w:sz w:val="24"/>
          <w:szCs w:val="24"/>
          <w:u w:val="none"/>
          <w:lang w:val="zxx" w:eastAsia="zxx"/>
        </w:rPr>
        <w:t xml:space="preserve">гл. </w:t>
      </w:r>
      <w:r>
        <w:rPr>
          <w:rFonts w:ascii="Times New Roman" w:hAnsi="Times New Roman"/>
          <w:b w:val="false"/>
          <w:bCs w:val="false"/>
          <w:i w:val="false"/>
          <w:iCs w:val="false"/>
          <w:color w:val="auto"/>
          <w:sz w:val="24"/>
          <w:szCs w:val="24"/>
          <w:u w:val="none"/>
          <w:lang w:val="ru-RU" w:eastAsia="zxx"/>
        </w:rPr>
        <w:t>52 ГК РФ</w:t>
      </w:r>
      <w:r>
        <w:rPr>
          <w:rFonts w:ascii="Times New Roman" w:hAnsi="Times New Roman"/>
          <w:b w:val="false"/>
          <w:bCs w:val="false"/>
          <w:i w:val="false"/>
          <w:iCs w:val="false"/>
          <w:color w:val="auto"/>
          <w:sz w:val="24"/>
          <w:szCs w:val="24"/>
          <w:u w:val="none"/>
        </w:rPr>
        <w:t xml:space="preserve"> или существу агентского договора.</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a9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f28d2"/>
    <w:rPr/>
  </w:style>
  <w:style w:type="character" w:styleId="Style14">
    <w:name w:val="Интернет-ссылка"/>
    <w:basedOn w:val="DefaultParagraphFont"/>
    <w:uiPriority w:val="99"/>
    <w:semiHidden/>
    <w:unhideWhenUsed/>
    <w:rsid w:val="002f28d2"/>
    <w:rPr>
      <w:color w:val="0000FF"/>
      <w:u w:val="single"/>
    </w:rPr>
  </w:style>
  <w:style w:type="character" w:styleId="Style15">
    <w:name w:val="Маркеры списка"/>
    <w:qFormat/>
    <w:rPr>
      <w:rFonts w:ascii="OpenSymbol" w:hAnsi="OpenSymbol" w:eastAsia="OpenSymbol" w:cs="OpenSymbol"/>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2f28d2"/>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name w:val="ConsPlusNormal"/>
    <w:qFormat/>
    <w:pPr>
      <w:widowControl/>
      <w:suppressAutoHyphens w:val="true"/>
      <w:bidi w:val="0"/>
      <w:jc w:val="left"/>
    </w:pPr>
    <w:rPr>
      <w:rFonts w:ascii="Arial" w:hAnsi="Arial" w:eastAsia="Liberation Serif" w:cs="Liberation Serif"/>
      <w:b w:val="false"/>
      <w:i w:val="false"/>
      <w:strike w:val="false"/>
      <w:dstrike w:val="false"/>
      <w:color w:val="000000"/>
      <w:sz w:val="20"/>
      <w:szCs w:val="24"/>
      <w:u w:val="none"/>
      <w:lang w:val="ru-RU" w:eastAsia="hi-IN" w:bidi="ar-SA"/>
    </w:rPr>
  </w:style>
  <w:style w:type="paragraph" w:styleId="ConsPlusTitle">
    <w:name w:val="ConsPlusTitle"/>
    <w:qFormat/>
    <w:pPr>
      <w:widowControl/>
      <w:suppressAutoHyphens w:val="true"/>
      <w:bidi w:val="0"/>
      <w:jc w:val="left"/>
    </w:pPr>
    <w:rPr>
      <w:rFonts w:ascii="Arial" w:hAnsi="Arial" w:eastAsia="Courier New" w:cs="Liberation Serif"/>
      <w:b/>
      <w:i w:val="false"/>
      <w:strike w:val="false"/>
      <w:dstrike w:val="false"/>
      <w:color w:val="000000"/>
      <w:sz w:val="16"/>
      <w:szCs w:val="24"/>
      <w:u w:val="none"/>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Application>LibreOffice/5.3.0.3$Windows_x86 LibreOffice_project/7074905676c47b82bbcfbea1aeefc84afe1c50e1</Application>
  <Pages>7</Pages>
  <Words>2777</Words>
  <Characters>18892</Characters>
  <CharactersWithSpaces>22107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2014-03-25T18:57:00Z</dcterms:created>
  <dc:creator>User</dc:creator>
  <dc:description/>
  <dc:language>ru-RU</dc:language>
  <cp:lastModifiedBy/>
  <dcterms:modified xsi:type="dcterms:W3CDTF">2017-11-29T13:36:07Z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