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ind w:left="0" w:right="0" w:firstLine="540"/>
        <w:jc w:val="center"/>
        <w:rPr>
          <w:rFonts w:ascii="Times New Roman" w:hAnsi="Times New Roman"/>
          <w:b/>
          <w:b/>
          <w:bCs/>
          <w:color w:val="auto"/>
          <w:sz w:val="24"/>
          <w:szCs w:val="24"/>
          <w:u w:val="none"/>
        </w:rPr>
      </w:pPr>
      <w:r>
        <w:rPr>
          <w:rFonts w:cs="Times New Roman" w:ascii="Times New Roman" w:hAnsi="Times New Roman"/>
          <w:b/>
          <w:bCs/>
          <w:i w:val="false"/>
          <w:iCs w:val="false"/>
          <w:color w:val="auto"/>
          <w:sz w:val="24"/>
          <w:szCs w:val="24"/>
          <w:u w:val="none"/>
        </w:rPr>
        <w:t>Основания приобретения и прекращения права собственности. Момент возникновения права собственности у приобретателя имущества по договору и риск случайной гибели (случайного повреждения) имущества. Деятельность адвоката по делам о защите права собственности.</w:t>
      </w:r>
    </w:p>
    <w:p>
      <w:pPr>
        <w:pStyle w:val="ConsPlusNormal"/>
        <w:spacing w:lineRule="auto" w:line="240"/>
        <w:ind w:left="0" w:right="0" w:firstLine="540"/>
        <w:jc w:val="both"/>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Право собственности на новую вещь, изготовленную или созданную лицом для себя с соблюдением закона и иных правовых актов, приобретается этим лицом.</w:t>
        <w:tab/>
        <w:tab/>
        <w:tab/>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r>
        <w:rPr>
          <w:rFonts w:ascii="Times New Roman" w:hAnsi="Times New Roman"/>
          <w:color w:val="auto"/>
          <w:sz w:val="24"/>
          <w:szCs w:val="24"/>
          <w:u w:val="none"/>
          <w:lang w:val="zxx" w:eastAsia="zxx"/>
        </w:rPr>
        <w:t>ст. 136</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w:t>
        <w:tab/>
        <w:tab/>
        <w:tab/>
        <w:tab/>
        <w:tab/>
        <w:tab/>
        <w:tab/>
        <w:tab/>
        <w:tab/>
        <w:tab/>
        <w:tab/>
        <w:tab/>
        <w:tab/>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tab/>
        <w:tab/>
        <w:tab/>
        <w:tab/>
        <w:tab/>
        <w:tab/>
        <w:tab/>
        <w:tab/>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tab/>
        <w:tab/>
        <w:tab/>
        <w:tab/>
        <w:tab/>
        <w:tab/>
        <w:tab/>
        <w:tab/>
        <w:tab/>
        <w:tab/>
        <w:tab/>
        <w:tab/>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tab/>
        <w:tab/>
        <w:tab/>
        <w:tab/>
        <w:tab/>
        <w:tab/>
        <w:tab/>
        <w:tab/>
        <w:t xml:space="preserve">В случаях и в порядке, предусмотренных </w:t>
      </w:r>
      <w:r>
        <w:rPr>
          <w:rFonts w:ascii="Times New Roman" w:hAnsi="Times New Roman"/>
          <w:color w:val="auto"/>
          <w:sz w:val="24"/>
          <w:szCs w:val="24"/>
          <w:u w:val="none"/>
        </w:rPr>
        <w:t>ГК РФ</w:t>
      </w:r>
      <w:r>
        <w:rPr>
          <w:rFonts w:ascii="Times New Roman" w:hAnsi="Times New Roman"/>
          <w:color w:val="auto"/>
          <w:sz w:val="24"/>
          <w:szCs w:val="24"/>
          <w:u w:val="none"/>
        </w:rP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tab/>
        <w:t>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tab/>
        <w:tab/>
        <w:tab/>
        <w:tab/>
        <w:tab/>
        <w:tab/>
        <w:tab/>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tab/>
        <w:tab/>
        <w:tab/>
        <w:tab/>
        <w:tab/>
        <w:tab/>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tab/>
        <w:tab/>
        <w:tab/>
        <w:tab/>
        <w:tab/>
        <w:tab/>
        <w:tab/>
        <w:tab/>
        <w:tab/>
        <w:tab/>
        <w:tab/>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tab/>
        <w:tab/>
        <w:tab/>
        <w:tab/>
        <w:tab/>
        <w:tab/>
        <w:tab/>
        <w:tab/>
        <w:tab/>
        <w:tab/>
        <w:tab/>
        <w:tab/>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tab/>
        <w:tab/>
        <w:tab/>
        <w:tab/>
        <w:tab/>
        <w:tab/>
        <w:tab/>
        <w:tab/>
        <w:tab/>
        <w:t xml:space="preserve">Самовольная постройка подлежит сносу осуществившим ее лицом либо за его счет, кроме случаев, предусмотренных </w:t>
      </w:r>
      <w:r>
        <w:rPr>
          <w:rFonts w:ascii="Times New Roman" w:hAnsi="Times New Roman"/>
          <w:color w:val="auto"/>
          <w:sz w:val="24"/>
          <w:szCs w:val="24"/>
          <w:u w:val="none"/>
          <w:lang w:val="zxx" w:eastAsia="zxx"/>
        </w:rPr>
        <w:t>п. 3</w:t>
      </w:r>
      <w:r>
        <w:rPr>
          <w:rFonts w:ascii="Times New Roman" w:hAnsi="Times New Roman"/>
          <w:color w:val="auto"/>
          <w:sz w:val="24"/>
          <w:szCs w:val="24"/>
          <w:u w:val="none"/>
        </w:rPr>
        <w:t xml:space="preserve"> и </w:t>
      </w:r>
      <w:r>
        <w:rPr>
          <w:rFonts w:ascii="Times New Roman" w:hAnsi="Times New Roman"/>
          <w:color w:val="auto"/>
          <w:sz w:val="24"/>
          <w:szCs w:val="24"/>
          <w:u w:val="none"/>
          <w:lang w:val="zxx" w:eastAsia="zxx"/>
        </w:rPr>
        <w:t>4</w:t>
      </w:r>
      <w:r>
        <w:rPr>
          <w:rFonts w:ascii="Times New Roman" w:hAnsi="Times New Roman"/>
          <w:color w:val="auto"/>
          <w:sz w:val="24"/>
          <w:szCs w:val="24"/>
          <w:u w:val="none"/>
        </w:rPr>
        <w:t xml:space="preserve"> </w:t>
      </w:r>
      <w:r>
        <w:rPr>
          <w:rFonts w:ascii="Times New Roman" w:hAnsi="Times New Roman"/>
          <w:color w:val="auto"/>
          <w:sz w:val="24"/>
          <w:szCs w:val="24"/>
          <w:u w:val="none"/>
        </w:rPr>
        <w:t>ст. 222 ГК РФ</w:t>
      </w:r>
      <w:r>
        <w:rPr>
          <w:rFonts w:ascii="Times New Roman" w:hAnsi="Times New Roman"/>
          <w:color w:val="auto"/>
          <w:sz w:val="24"/>
          <w:szCs w:val="24"/>
          <w:u w:val="none"/>
        </w:rPr>
        <w:t>.</w:t>
        <w:tab/>
        <w:tab/>
        <w:tab/>
        <w:tab/>
        <w:tab/>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tab/>
        <w:tab/>
        <w:tab/>
        <w:tab/>
        <w:tab/>
        <w:tab/>
        <w:t xml:space="preserve">  </w:t>
        <w:tab/>
      </w:r>
      <w:r>
        <w:rPr>
          <w:rFonts w:ascii="Times New Roman" w:hAnsi="Times New Roman"/>
          <w:color w:val="auto"/>
          <w:sz w:val="24"/>
          <w:szCs w:val="24"/>
          <w:u w:val="none"/>
        </w:rPr>
        <w:t>-</w:t>
      </w:r>
      <w:r>
        <w:rPr>
          <w:rFonts w:ascii="Times New Roman" w:hAnsi="Times New Roman"/>
          <w:color w:val="auto"/>
          <w:sz w:val="24"/>
          <w:szCs w:val="24"/>
          <w:u w:val="none"/>
        </w:rPr>
        <w:t>если в отношении земельного участка лицо, осуществившее постройку, имеет права, допускающие строительство на нем данного объекта;</w:t>
        <w:tab/>
        <w:tab/>
        <w:tab/>
        <w:tab/>
        <w:tab/>
        <w:tab/>
      </w:r>
      <w:r>
        <w:rPr>
          <w:rFonts w:ascii="Times New Roman" w:hAnsi="Times New Roman"/>
          <w:color w:val="auto"/>
          <w:sz w:val="24"/>
          <w:szCs w:val="24"/>
          <w:u w:val="none"/>
        </w:rPr>
        <w:t>-</w:t>
      </w:r>
      <w:r>
        <w:rPr>
          <w:rFonts w:ascii="Times New Roman" w:hAnsi="Times New Roman"/>
          <w:color w:val="auto"/>
          <w:sz w:val="24"/>
          <w:szCs w:val="24"/>
          <w:u w:val="none"/>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tab/>
        <w:tab/>
        <w:tab/>
        <w:tab/>
        <w:tab/>
        <w:tab/>
        <w:tab/>
        <w:tab/>
        <w:tab/>
        <w:tab/>
        <w:tab/>
        <w:tab/>
      </w:r>
      <w:r>
        <w:rPr>
          <w:rFonts w:ascii="Times New Roman" w:hAnsi="Times New Roman"/>
          <w:color w:val="auto"/>
          <w:sz w:val="24"/>
          <w:szCs w:val="24"/>
          <w:u w:val="none"/>
        </w:rPr>
        <w:t>-</w:t>
      </w:r>
      <w:r>
        <w:rPr>
          <w:rFonts w:ascii="Times New Roman" w:hAnsi="Times New Roman"/>
          <w:color w:val="auto"/>
          <w:sz w:val="24"/>
          <w:szCs w:val="24"/>
          <w:u w:val="none"/>
        </w:rPr>
        <w:t>если сохранение постройки не нарушает права и охраняемые законом интересы других лиц и не создает угрозу жизни и здоровью граждан.</w:t>
        <w:tab/>
        <w:tab/>
        <w:tab/>
        <w:tab/>
        <w:tab/>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О</w:t>
      </w:r>
      <w:r>
        <w:rPr>
          <w:rFonts w:ascii="Times New Roman" w:hAnsi="Times New Roman"/>
          <w:color w:val="auto"/>
          <w:sz w:val="24"/>
          <w:szCs w:val="24"/>
          <w:u w:val="none"/>
        </w:rPr>
        <w:t>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tab/>
        <w:tab/>
        <w:tab/>
        <w:tab/>
        <w:tab/>
        <w:tab/>
        <w:tab/>
        <w:tab/>
        <w:tab/>
        <w:tab/>
        <w:tab/>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tab/>
        <w:tab/>
        <w:tab/>
        <w:tab/>
        <w:tab/>
        <w:tab/>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tab/>
        <w:tab/>
        <w:tab/>
        <w:tab/>
        <w:tab/>
        <w:tab/>
      </w:r>
      <w:r>
        <w:rPr>
          <w:rFonts w:ascii="Times New Roman" w:hAnsi="Times New Roman"/>
          <w:color w:val="auto"/>
          <w:sz w:val="24"/>
          <w:szCs w:val="24"/>
          <w:u w:val="none"/>
        </w:rPr>
        <w:t>-</w:t>
      </w:r>
      <w:r>
        <w:rPr>
          <w:rFonts w:ascii="Times New Roman" w:hAnsi="Times New Roman"/>
          <w:color w:val="auto"/>
          <w:sz w:val="24"/>
          <w:szCs w:val="24"/>
          <w:u w:val="none"/>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tab/>
        <w:tab/>
        <w:tab/>
        <w:tab/>
        <w:tab/>
        <w:tab/>
        <w:tab/>
        <w:tab/>
        <w:tab/>
        <w:tab/>
        <w:tab/>
        <w:tab/>
        <w:tab/>
      </w:r>
      <w:r>
        <w:rPr>
          <w:rFonts w:ascii="Times New Roman" w:hAnsi="Times New Roman"/>
          <w:color w:val="auto"/>
          <w:sz w:val="24"/>
          <w:szCs w:val="24"/>
          <w:u w:val="none"/>
        </w:rPr>
        <w:t>-</w:t>
      </w:r>
      <w:r>
        <w:rPr>
          <w:rFonts w:ascii="Times New Roman" w:hAnsi="Times New Roman"/>
          <w:color w:val="auto"/>
          <w:sz w:val="24"/>
          <w:szCs w:val="24"/>
          <w:u w:val="none"/>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tab/>
        <w:tab/>
        <w:tab/>
        <w:tab/>
        <w:tab/>
        <w:tab/>
        <w:tab/>
        <w:tab/>
      </w:r>
      <w:r>
        <w:rPr>
          <w:rFonts w:ascii="Times New Roman" w:hAnsi="Times New Roman"/>
          <w:color w:val="auto"/>
          <w:sz w:val="24"/>
          <w:szCs w:val="24"/>
          <w:u w:val="none"/>
        </w:rPr>
        <w:t>-</w:t>
      </w:r>
      <w:r>
        <w:rPr>
          <w:rFonts w:ascii="Times New Roman" w:hAnsi="Times New Roman"/>
          <w:color w:val="auto"/>
          <w:sz w:val="24"/>
          <w:szCs w:val="24"/>
          <w:u w:val="none"/>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tab/>
        <w:tab/>
        <w:tab/>
        <w:tab/>
      </w:r>
      <w:r>
        <w:rPr>
          <w:rFonts w:ascii="Times New Roman" w:hAnsi="Times New Roman"/>
          <w:color w:val="auto"/>
          <w:sz w:val="24"/>
          <w:szCs w:val="24"/>
          <w:u w:val="none"/>
        </w:rPr>
        <w:tab/>
        <w:tab/>
        <w:tab/>
        <w:tab/>
        <w:tab/>
        <w:tab/>
        <w:tab/>
        <w:tab/>
      </w:r>
      <w:r>
        <w:rPr>
          <w:rFonts w:ascii="Times New Roman" w:hAnsi="Times New Roman"/>
          <w:color w:val="auto"/>
          <w:sz w:val="24"/>
          <w:szCs w:val="24"/>
          <w:u w:val="none"/>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pPr>
        <w:pStyle w:val="ConsPlusNormal"/>
        <w:spacing w:lineRule="auto" w:line="240" w:before="0" w:after="0"/>
        <w:ind w:left="0" w:right="0" w:hanging="0"/>
        <w:jc w:val="both"/>
        <w:rPr>
          <w:rFonts w:ascii="Times New Roman" w:hAnsi="Times New Roman"/>
          <w:color w:val="auto"/>
          <w:sz w:val="24"/>
          <w:szCs w:val="24"/>
          <w:u w:val="none"/>
        </w:rPr>
      </w:pPr>
      <w:r>
        <w:rPr>
          <w:rFonts w:ascii="Times New Roman" w:hAnsi="Times New Roman"/>
          <w:color w:val="auto"/>
          <w:sz w:val="24"/>
          <w:szCs w:val="24"/>
          <w:u w:val="none"/>
        </w:rPr>
      </w:r>
    </w:p>
    <w:p>
      <w:pPr>
        <w:pStyle w:val="ConsPlusNormal"/>
        <w:spacing w:lineRule="auto" w:line="240" w:before="0"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b w:val="false"/>
          <w:b w:val="false"/>
          <w:bCs w:val="false"/>
          <w:i/>
          <w:i/>
          <w:iCs/>
          <w:color w:val="auto"/>
          <w:sz w:val="24"/>
          <w:szCs w:val="24"/>
          <w:u w:val="none"/>
        </w:rPr>
      </w:pPr>
      <w:r>
        <w:rPr>
          <w:rFonts w:ascii="Times New Roman" w:hAnsi="Times New Roman"/>
          <w:b w:val="false"/>
          <w:bCs w:val="false"/>
          <w:i/>
          <w:iCs/>
          <w:color w:val="auto"/>
          <w:sz w:val="24"/>
          <w:szCs w:val="24"/>
          <w:u w:val="none"/>
        </w:rPr>
        <w:tab/>
        <w:t>Наличие зарегистрированных прав на самовольную постройку не исключает возможности ее сноса (Постановление Пленума Верховного Суда РФ N 10, Пленума ВАС РФ N 22 от 29.04.2010).</w:t>
      </w:r>
    </w:p>
    <w:p>
      <w:pPr>
        <w:pStyle w:val="ConsPlusNormal"/>
        <w:spacing w:lineRule="auto" w:line="240" w:before="0" w:after="0"/>
        <w:ind w:left="0" w:right="0" w:hanging="0"/>
        <w:jc w:val="both"/>
        <w:rPr>
          <w:rFonts w:ascii="Times New Roman" w:hAnsi="Times New Roman"/>
          <w:b/>
          <w:b/>
          <w:bCs/>
          <w:i w:val="false"/>
          <w:i w:val="false"/>
          <w:iCs w:val="false"/>
          <w:color w:val="auto"/>
          <w:sz w:val="24"/>
          <w:szCs w:val="24"/>
          <w:u w:val="none"/>
        </w:rPr>
      </w:pPr>
      <w:r>
        <w:rPr>
          <w:rFonts w:ascii="Times New Roman" w:hAnsi="Times New Roman"/>
          <w:b/>
          <w:bCs/>
          <w:i w:val="false"/>
          <w:iCs w:val="false"/>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b w:val="false"/>
          <w:b w:val="false"/>
          <w:bCs w:val="false"/>
          <w:i/>
          <w:i/>
          <w:iCs/>
          <w:color w:val="auto"/>
          <w:sz w:val="24"/>
          <w:szCs w:val="24"/>
          <w:u w:val="none"/>
        </w:rPr>
      </w:pPr>
      <w:r>
        <w:rPr>
          <w:rFonts w:ascii="Times New Roman" w:hAnsi="Times New Roman"/>
          <w:b w:val="false"/>
          <w:bCs w:val="false"/>
          <w:i/>
          <w:iCs/>
          <w:color w:val="auto"/>
          <w:sz w:val="24"/>
          <w:szCs w:val="24"/>
          <w:u w:val="none"/>
        </w:rPr>
        <w:tab/>
        <w:t>П. 4 ст. 222 не распространяется на самовольные постройки, относящиеся к имуществу религиозного назначения.</w:t>
      </w:r>
    </w:p>
    <w:p>
      <w:pPr>
        <w:pStyle w:val="ConsPlusNormal"/>
        <w:spacing w:lineRule="auto" w:line="240" w:before="0" w:after="0"/>
        <w:ind w:left="0" w:right="0" w:firstLine="540"/>
        <w:jc w:val="both"/>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Право собственности у приобретателя вещи по договору возникает с момента ее передачи, если иное не предусмотрено законом или договором.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tab/>
        <w:tab/>
        <w:tab/>
        <w:tab/>
        <w:tab/>
        <w:tab/>
        <w:tab/>
        <w:tab/>
        <w:tab/>
        <w:tab/>
        <w:tab/>
        <w:t xml:space="preserve">Недвижимое имущество признается принадлежащим добросовестному приобретателю на праве собственности с момента такой регистрации, за исключением предусмотренных </w:t>
      </w:r>
      <w:r>
        <w:rPr>
          <w:rFonts w:ascii="Times New Roman" w:hAnsi="Times New Roman"/>
          <w:color w:val="auto"/>
          <w:sz w:val="24"/>
          <w:szCs w:val="24"/>
          <w:u w:val="none"/>
          <w:lang w:val="zxx" w:eastAsia="zxx"/>
        </w:rPr>
        <w:t>ст. 302</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 xml:space="preserve"> случаев, когда собственник вправе истребовать такое имущество от добросовестного приобретателя.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Вещь считается врученной приобретателю с момента ее фактического поступления во владение приобретателя или указанного им лица.</w:t>
        <w:tab/>
        <w:tab/>
        <w:tab/>
        <w:tab/>
        <w:tab/>
        <w:tab/>
        <w:t>Если к моменту заключения договора об отчуждении вещи она уже находится во владении приобретателя, вещь признается переданной ему с этого момента.</w:t>
        <w:tab/>
        <w:tab/>
        <w:tab/>
        <w:tab/>
        <w:t>К передаче вещи приравнивается передача коносамента или иного товарораспорядительного документа на нее.</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tab/>
        <w:tab/>
        <w:tab/>
        <w:tab/>
        <w:tab/>
        <w:tab/>
        <w:tab/>
        <w:tab/>
        <w:t xml:space="preserve">Если это не исключается правилами </w:t>
      </w:r>
      <w:r>
        <w:rPr>
          <w:rFonts w:ascii="Times New Roman" w:hAnsi="Times New Roman"/>
          <w:color w:val="auto"/>
          <w:sz w:val="24"/>
          <w:szCs w:val="24"/>
          <w:u w:val="none"/>
        </w:rPr>
        <w:t>ГК РФ</w:t>
      </w:r>
      <w:r>
        <w:rPr>
          <w:rFonts w:ascii="Times New Roman" w:hAnsi="Times New Roman"/>
          <w:color w:val="auto"/>
          <w:sz w:val="24"/>
          <w:szCs w:val="24"/>
          <w:u w:val="none"/>
        </w:rPr>
        <w:t xml:space="preserve"> о приобретении права собственности на вещи, от которых собственник отказался, о находке, о безнадзорных животных и кладе, право собственности на бесхозяйные движимые вещи может быть приобретено в силу </w:t>
      </w:r>
      <w:r>
        <w:rPr>
          <w:rFonts w:ascii="Times New Roman" w:hAnsi="Times New Roman"/>
          <w:color w:val="auto"/>
          <w:sz w:val="24"/>
          <w:szCs w:val="24"/>
          <w:u w:val="none"/>
          <w:lang w:val="zxx" w:eastAsia="zxx"/>
        </w:rPr>
        <w:t>приобретательной давности</w:t>
      </w:r>
      <w:r>
        <w:rPr>
          <w:rFonts w:ascii="Times New Roman" w:hAnsi="Times New Roman"/>
          <w:color w:val="auto"/>
          <w:sz w:val="24"/>
          <w:szCs w:val="24"/>
          <w:u w:val="none"/>
        </w:rPr>
        <w:t>.</w:t>
        <w:tab/>
        <w:tab/>
        <w:tab/>
        <w:tab/>
        <w:tab/>
        <w:tab/>
        <w:tab/>
        <w:tab/>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tab/>
        <w:tab/>
        <w:tab/>
        <w:tab/>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tab/>
        <w:tab/>
        <w:tab/>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tab/>
        <w:tab/>
        <w:tab/>
        <w:tab/>
        <w:tab/>
        <w:tab/>
        <w:tab/>
        <w:tab/>
        <w:tab/>
        <w:t>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tab/>
        <w:tab/>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tab/>
        <w:tab/>
        <w:tab/>
        <w:tab/>
        <w:tab/>
        <w:tab/>
        <w:tab/>
        <w:tab/>
        <w:tab/>
        <w:tab/>
        <w:tab/>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 xml:space="preserve">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r>
        <w:rPr>
          <w:rFonts w:ascii="Times New Roman" w:hAnsi="Times New Roman"/>
          <w:color w:val="auto"/>
          <w:sz w:val="24"/>
          <w:szCs w:val="24"/>
          <w:u w:val="none"/>
          <w:lang w:val="zxx" w:eastAsia="zxx"/>
        </w:rPr>
        <w:t>п. 2</w:t>
      </w:r>
      <w:r>
        <w:rPr>
          <w:rFonts w:ascii="Times New Roman" w:hAnsi="Times New Roman"/>
          <w:color w:val="auto"/>
          <w:sz w:val="24"/>
          <w:szCs w:val="24"/>
          <w:u w:val="none"/>
        </w:rPr>
        <w:t xml:space="preserve"> </w:t>
      </w:r>
      <w:r>
        <w:rPr>
          <w:rFonts w:ascii="Times New Roman" w:hAnsi="Times New Roman"/>
          <w:color w:val="auto"/>
          <w:sz w:val="24"/>
          <w:szCs w:val="24"/>
          <w:u w:val="none"/>
        </w:rPr>
        <w:t>ст.226 ГК РФ</w:t>
      </w:r>
      <w:r>
        <w:rPr>
          <w:rFonts w:ascii="Times New Roman" w:hAnsi="Times New Roman"/>
          <w:color w:val="auto"/>
          <w:sz w:val="24"/>
          <w:szCs w:val="24"/>
          <w:u w:val="none"/>
        </w:rPr>
        <w:t>.</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tab/>
        <w:tab/>
        <w:tab/>
        <w:tab/>
        <w:tab/>
        <w:tab/>
        <w:tab/>
        <w:tab/>
        <w:tab/>
        <w:tab/>
        <w:tab/>
        <w:t>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tab/>
        <w:tab/>
        <w:tab/>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tab/>
        <w:tab/>
        <w:tab/>
        <w:tab/>
        <w:tab/>
        <w:tab/>
        <w:tab/>
        <w:tab/>
        <w:tab/>
        <w:tab/>
        <w:tab/>
        <w:tab/>
        <w:tab/>
        <w:t>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tab/>
        <w:tab/>
        <w:tab/>
        <w:tab/>
        <w:tab/>
        <w:tab/>
        <w:tab/>
        <w:tab/>
        <w:tab/>
        <w:tab/>
        <w:t>Нашедший вещь вправе хранить ее у себя либо сдать на хранение в полицию, орган местного самоуправления или указанному ими лицу.</w:t>
        <w:tab/>
        <w:tab/>
        <w:tab/>
        <w:tab/>
        <w:tab/>
        <w:tab/>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tab/>
        <w:tab/>
        <w:tab/>
        <w:tab/>
        <w:tab/>
        <w:tab/>
        <w:tab/>
        <w:tab/>
        <w:tab/>
        <w:tab/>
        <w:tab/>
        <w:t>Нашедший вещь отвечает за ее утрату или повреждение лишь в случае умысла или грубой неосторожности и в пределах стоимости вещи.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в течение шести месяцев с момента заявления о находке в полицию или в орган местного самоуправления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tab/>
        <w:tab/>
        <w:tab/>
        <w:tab/>
        <w:tab/>
        <w:tab/>
        <w:tab/>
        <w:tab/>
        <w:tab/>
        <w:tab/>
        <w:t>Если нашедший вещь откажется от приобретения найденной вещи в собственность, она поступает в муниципальную собственность.</w:t>
        <w:tab/>
        <w:tab/>
        <w:tab/>
        <w:tab/>
        <w:tab/>
        <w:tab/>
        <w:t>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tab/>
        <w:tab/>
        <w:t>Право на вознаграждение не возникает, если нашедший вещь не заявил о находке или пытался ее утаить.</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tab/>
        <w:tab/>
        <w:tab/>
        <w:tab/>
        <w:tab/>
        <w:tab/>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tab/>
        <w:tab/>
        <w:tab/>
        <w:tab/>
        <w:tab/>
        <w:tab/>
        <w:tab/>
        <w:tab/>
        <w:tab/>
        <w:tab/>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tab/>
        <w:tab/>
        <w:tab/>
        <w:tab/>
        <w:tab/>
        <w:tab/>
        <w:tab/>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tab/>
        <w:tab/>
        <w:tab/>
        <w:tab/>
        <w:tab/>
        <w:tab/>
        <w:tab/>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tab/>
        <w:t xml:space="preserve">Лицо, задержавшее безнадзорных домашних животных, имеет право на вознаграждение в соответствии с </w:t>
      </w:r>
      <w:r>
        <w:rPr>
          <w:rFonts w:ascii="Times New Roman" w:hAnsi="Times New Roman"/>
          <w:color w:val="auto"/>
          <w:sz w:val="24"/>
          <w:szCs w:val="24"/>
          <w:u w:val="none"/>
          <w:lang w:val="zxx" w:eastAsia="zxx"/>
        </w:rPr>
        <w:t>п. 2 ст. 229</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tab/>
        <w:tab/>
        <w:tab/>
        <w:tab/>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tab/>
        <w:tab/>
        <w:tab/>
        <w:tab/>
        <w:tab/>
        <w:tab/>
        <w:tab/>
        <w:tab/>
        <w:tab/>
        <w:tab/>
        <w:t>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tab/>
        <w:tab/>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tab/>
        <w:tab/>
        <w:tab/>
        <w:tab/>
        <w:tab/>
      </w:r>
      <w:r>
        <w:rPr>
          <w:rFonts w:ascii="Times New Roman" w:hAnsi="Times New Roman"/>
          <w:color w:val="auto"/>
          <w:sz w:val="24"/>
          <w:szCs w:val="24"/>
          <w:u w:val="none"/>
        </w:rPr>
        <w:t>Данные п</w:t>
      </w:r>
      <w:r>
        <w:rPr>
          <w:rFonts w:ascii="Times New Roman" w:hAnsi="Times New Roman"/>
          <w:color w:val="auto"/>
          <w:sz w:val="24"/>
          <w:szCs w:val="24"/>
          <w:u w:val="none"/>
        </w:rPr>
        <w:t>равила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ConsPlusNormal"/>
        <w:spacing w:lineRule="auto" w:line="240" w:before="0" w:after="0"/>
        <w:ind w:left="0" w:right="0" w:hanging="0"/>
        <w:jc w:val="both"/>
        <w:rPr>
          <w:rFonts w:ascii="Times New Roman" w:hAnsi="Times New Roman"/>
          <w:color w:val="auto"/>
          <w:sz w:val="24"/>
          <w:szCs w:val="24"/>
          <w:u w:val="none"/>
        </w:rPr>
      </w:pPr>
      <w:r>
        <w:rPr>
          <w:rFonts w:ascii="Times New Roman" w:hAnsi="Times New Roman"/>
          <w:color w:val="auto"/>
          <w:sz w:val="24"/>
          <w:szCs w:val="24"/>
          <w:u w:val="none"/>
        </w:rPr>
        <w:tab/>
        <w:t>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tab/>
        <w:tab/>
        <w:tab/>
        <w:tab/>
        <w:tab/>
        <w:tab/>
        <w:tab/>
        <w:tab/>
        <w:tab/>
        <w:tab/>
        <w:tab/>
        <w:tab/>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tab/>
        <w:tab/>
        <w:tab/>
        <w:tab/>
        <w:tab/>
        <w:t>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tab/>
        <w:tab/>
        <w:tab/>
        <w:tab/>
        <w:tab/>
        <w:tab/>
        <w:tab/>
        <w:tab/>
        <w:tab/>
        <w:tab/>
        <w:tab/>
        <w:tab/>
        <w:t>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tab/>
        <w:tab/>
        <w:tab/>
        <w:tab/>
        <w:tab/>
        <w:tab/>
        <w:tab/>
        <w:tab/>
      </w:r>
      <w:r>
        <w:rPr>
          <w:rFonts w:cs="Times New Roman" w:ascii="Times New Roman" w:hAnsi="Times New Roman"/>
          <w:b w:val="false"/>
          <w:bCs w:val="false"/>
          <w:i w:val="false"/>
          <w:iCs w:val="false"/>
          <w:color w:val="auto"/>
          <w:sz w:val="24"/>
          <w:szCs w:val="24"/>
          <w:u w:val="none"/>
        </w:rPr>
        <w:t xml:space="preserve">Течение срока приобретательной давности в отношении вещей, находящихся у лица, из владения которого они могли быть истребованы в соответствии со </w:t>
      </w:r>
      <w:r>
        <w:rPr>
          <w:rFonts w:cs="Times New Roman" w:ascii="Times New Roman" w:hAnsi="Times New Roman"/>
          <w:b w:val="false"/>
          <w:bCs w:val="false"/>
          <w:i w:val="false"/>
          <w:iCs w:val="false"/>
          <w:color w:val="auto"/>
          <w:sz w:val="24"/>
          <w:szCs w:val="24"/>
          <w:u w:val="none"/>
          <w:lang w:val="zxx" w:eastAsia="zxx"/>
        </w:rPr>
        <w:t>ст. 301</w:t>
      </w:r>
      <w:r>
        <w:rPr>
          <w:rFonts w:cs="Times New Roman" w:ascii="Times New Roman" w:hAnsi="Times New Roman"/>
          <w:b w:val="false"/>
          <w:bCs w:val="false"/>
          <w:i w:val="false"/>
          <w:iCs w:val="false"/>
          <w:color w:val="auto"/>
          <w:sz w:val="24"/>
          <w:szCs w:val="24"/>
          <w:u w:val="none"/>
        </w:rPr>
        <w:t xml:space="preserve"> и </w:t>
      </w:r>
      <w:r>
        <w:rPr>
          <w:rFonts w:cs="Times New Roman" w:ascii="Times New Roman" w:hAnsi="Times New Roman"/>
          <w:b w:val="false"/>
          <w:bCs w:val="false"/>
          <w:i w:val="false"/>
          <w:iCs w:val="false"/>
          <w:color w:val="auto"/>
          <w:sz w:val="24"/>
          <w:szCs w:val="24"/>
          <w:u w:val="none"/>
          <w:lang w:val="zxx" w:eastAsia="zxx"/>
        </w:rPr>
        <w:t>305</w:t>
      </w:r>
      <w:r>
        <w:rPr>
          <w:rFonts w:cs="Times New Roman" w:ascii="Times New Roman" w:hAnsi="Times New Roman"/>
          <w:b w:val="false"/>
          <w:bCs w:val="false"/>
          <w:i w:val="false"/>
          <w:iCs w:val="false"/>
          <w:color w:val="auto"/>
          <w:sz w:val="24"/>
          <w:szCs w:val="24"/>
          <w:u w:val="none"/>
        </w:rPr>
        <w:t xml:space="preserve"> </w:t>
      </w:r>
      <w:r>
        <w:rPr>
          <w:rFonts w:cs="Times New Roman" w:ascii="Times New Roman" w:hAnsi="Times New Roman"/>
          <w:b w:val="false"/>
          <w:bCs w:val="false"/>
          <w:i w:val="false"/>
          <w:iCs w:val="false"/>
          <w:color w:val="auto"/>
          <w:sz w:val="24"/>
          <w:szCs w:val="24"/>
          <w:u w:val="none"/>
        </w:rPr>
        <w:t>ГК РФ</w:t>
      </w:r>
      <w:r>
        <w:rPr>
          <w:rFonts w:cs="Times New Roman" w:ascii="Times New Roman" w:hAnsi="Times New Roman"/>
          <w:b w:val="false"/>
          <w:bCs w:val="false"/>
          <w:i w:val="false"/>
          <w:iCs w:val="false"/>
          <w:color w:val="auto"/>
          <w:sz w:val="24"/>
          <w:szCs w:val="24"/>
          <w:u w:val="none"/>
        </w:rPr>
        <w:t>, начинается не ранее истечения срока исковой давности по соответствующим требованиям.</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LibreOffice/5.3.0.3$Windows_x86 LibreOffice_project/7074905676c47b82bbcfbea1aeefc84afe1c50e1</Application>
  <Pages>6</Pages>
  <Words>2519</Words>
  <Characters>16955</Characters>
  <CharactersWithSpaces>19829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2017-10-20T19:56:53Z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